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65" w:rsidRPr="000877EA" w:rsidRDefault="002B3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2B3F6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директора</w:t>
      </w:r>
    </w:p>
    <w:p w:rsidR="002B3F65" w:rsidRPr="000877EA" w:rsidRDefault="00A277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Сажаевой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Елены Владимировны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B3F65" w:rsidRPr="000877EA" w:rsidRDefault="00A277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ключевых показателей эффективности деятельности организации </w:t>
      </w:r>
    </w:p>
    <w:p w:rsidR="002B3F65" w:rsidRPr="000877EA" w:rsidRDefault="00A277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87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ГАУ КЦСОН «Забота» Белоярского района</w:t>
      </w:r>
    </w:p>
    <w:p w:rsidR="002B3F65" w:rsidRPr="000877EA" w:rsidRDefault="00A277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 </w:t>
      </w:r>
      <w:r w:rsidR="00E11B18" w:rsidRPr="00087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87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квартал 2020 года</w:t>
      </w:r>
    </w:p>
    <w:p w:rsidR="002B3F65" w:rsidRPr="000877EA" w:rsidRDefault="002B3F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65" w:rsidRPr="000877EA" w:rsidRDefault="00A277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 </w:t>
      </w:r>
      <w:r w:rsidR="00A94998"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A94998" w:rsidRPr="000877EA" w:rsidRDefault="00A94998" w:rsidP="00A949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98" w:rsidRPr="000877EA" w:rsidRDefault="00A94998" w:rsidP="00A9499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528"/>
      </w:tblGrid>
      <w:tr w:rsidR="00A94998" w:rsidRPr="000877EA" w:rsidTr="00A94998">
        <w:tc>
          <w:tcPr>
            <w:tcW w:w="4821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5528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учреждение социального обслуживания  Свердловской области «Комплексный центр социального обслуживания населения «Забота» Белоярского района»</w:t>
            </w:r>
          </w:p>
        </w:tc>
      </w:tr>
      <w:tr w:rsidR="00A94998" w:rsidRPr="000877EA" w:rsidTr="00A94998">
        <w:tc>
          <w:tcPr>
            <w:tcW w:w="4821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правовой акт, в соответствии с которым создана организация</w:t>
            </w:r>
          </w:p>
        </w:tc>
        <w:tc>
          <w:tcPr>
            <w:tcW w:w="5528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Свердловской области  от 04.10.2018 № 652 « О  реорганизации  государственного автономного  учреждения социального обслуживания  населения Свердловской области  « Комплексный центр социального обслуживания населения « Забота» Белоярского района» в форме  присоединения к нему  государственного автономного учреждения  социального обслуживания населения  Свердловской области «Социальн</w:t>
            </w:r>
            <w:proofErr w:type="gram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реабилитационный центр для несовершеннолетних Белоярского района» </w:t>
            </w:r>
          </w:p>
        </w:tc>
      </w:tr>
      <w:tr w:rsidR="00A94998" w:rsidRPr="000877EA" w:rsidTr="00A94998">
        <w:tc>
          <w:tcPr>
            <w:tcW w:w="4821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5528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Свердловская область, п.г.т. </w:t>
            </w:r>
            <w:proofErr w:type="gram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Белоярский</w:t>
            </w:r>
            <w:proofErr w:type="gramEnd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улица Нагорная, 11А.</w:t>
            </w:r>
          </w:p>
        </w:tc>
      </w:tr>
      <w:tr w:rsidR="00A94998" w:rsidRPr="000877EA" w:rsidTr="00A94998">
        <w:tc>
          <w:tcPr>
            <w:tcW w:w="4821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5528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социальное обслуживание населения </w:t>
            </w:r>
          </w:p>
        </w:tc>
      </w:tr>
      <w:tr w:rsidR="00A94998" w:rsidRPr="000877EA" w:rsidTr="00A94998">
        <w:tc>
          <w:tcPr>
            <w:tcW w:w="4821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(директора)</w:t>
            </w:r>
          </w:p>
        </w:tc>
        <w:tc>
          <w:tcPr>
            <w:tcW w:w="5528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Сажаева</w:t>
            </w:r>
            <w:proofErr w:type="spellEnd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A94998" w:rsidRPr="000877EA" w:rsidTr="00A94998">
        <w:tc>
          <w:tcPr>
            <w:tcW w:w="4821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трудового договора:</w:t>
            </w:r>
          </w:p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5528" w:type="dxa"/>
            <w:shd w:val="clear" w:color="auto" w:fill="auto"/>
          </w:tcPr>
          <w:p w:rsidR="00A94998" w:rsidRPr="000877EA" w:rsidRDefault="00A94998" w:rsidP="00A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03.06.2020 -02.06.2022г.</w:t>
            </w:r>
            <w:proofErr w:type="gram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94998" w:rsidRPr="000877EA" w:rsidRDefault="00A94998">
      <w:pPr>
        <w:tabs>
          <w:tab w:val="left" w:pos="652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652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деятельности учреждения</w:t>
      </w:r>
    </w:p>
    <w:p w:rsidR="002B3F65" w:rsidRPr="000877EA" w:rsidRDefault="002B3F65">
      <w:pPr>
        <w:tabs>
          <w:tab w:val="left" w:pos="652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65" w:rsidRPr="000877EA" w:rsidRDefault="00C86D33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277DB"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ГАУ «КЦСОН «Забота» Белоярского района» является единственным учреждением в Белоярском районе и городе Заречном, которое осуществляет </w:t>
      </w:r>
      <w:r w:rsidR="00A277DB"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деятельность по  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обслуживанию граждан, в том числе инвалидов, и несовершеннолетних в возрасте от 3 до 18 лет.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Свою деятельность учреждение осуществляет на основании Устава, в соответствии с Конституцией Российской Федерации, Федеральным законом Российской Федерации «Об основах социального обслуживания граждан в Российской Федерации» № 442-ФЗ  от 28 декабря 2013 года и другими нормативно-правовыми актами.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Основной целью учреждения является предоставление социального обслуживание гражданам, признанным нуждающимися в социальном обслуживании через различные формы социального обслуживания, в соответствии с действующим законодательством Российской Федерации и Свердловской области, а также реализация технологий и мероприятий по социальному сопровождению указанной категории граждан.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течение 2 квартала 2020 года решались задачи: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Symbol" w:hAnsi="Times New Roman" w:cs="Times New Roman"/>
          <w:sz w:val="28"/>
          <w:szCs w:val="28"/>
          <w:lang w:eastAsia="ru-RU"/>
        </w:rPr>
        <w:t>- о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работы по своевременному и качественному выполнению Государственного задания, установленного на 2020 год;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Symbol" w:hAnsi="Times New Roman" w:cs="Times New Roman"/>
          <w:sz w:val="28"/>
          <w:szCs w:val="28"/>
          <w:lang w:eastAsia="ru-RU"/>
        </w:rPr>
        <w:t>- о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работы по социальному обслуживанию населения в соответствии с Федеральным Законом от 28 декабря 2013 г. № 442-ФЗ «Об основах социального обслуживания граждан в Российской Федерации»;</w:t>
      </w:r>
    </w:p>
    <w:p w:rsidR="002B3F65" w:rsidRPr="000877EA" w:rsidRDefault="00A277DB">
      <w:pPr>
        <w:tabs>
          <w:tab w:val="left" w:pos="935"/>
        </w:tabs>
        <w:spacing w:after="0" w:line="240" w:lineRule="auto"/>
        <w:ind w:firstLineChars="350" w:firstLine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улучшению показателей по сопровождению семей, находящихся на особом контроле учреждения (семей, находящихся в социально опасном положении, семей, находящихся на ранней стадии социального неблагополучия, семей, воспитывающих подростков с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поведением, замещающих семей);</w:t>
      </w:r>
    </w:p>
    <w:p w:rsidR="002B3F65" w:rsidRPr="000877EA" w:rsidRDefault="00A277DB">
      <w:pPr>
        <w:tabs>
          <w:tab w:val="left" w:pos="935"/>
        </w:tabs>
        <w:spacing w:after="0" w:line="240" w:lineRule="auto"/>
        <w:ind w:firstLineChars="300" w:firstLine="8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реализации отделениями учреждения комплексных программ, областных целевых программ и программ районного уровня;</w:t>
      </w:r>
    </w:p>
    <w:p w:rsidR="002B3F65" w:rsidRPr="000877EA" w:rsidRDefault="00A277DB">
      <w:pPr>
        <w:tabs>
          <w:tab w:val="left" w:pos="935"/>
        </w:tabs>
        <w:spacing w:after="0" w:line="240" w:lineRule="auto"/>
        <w:ind w:firstLineChars="300" w:firstLine="8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качественному сопровождению замещающих семей и реализации основных задач Школы приемных родителей:</w:t>
      </w:r>
    </w:p>
    <w:p w:rsidR="002B3F65" w:rsidRPr="000877EA" w:rsidRDefault="00A277DB">
      <w:pPr>
        <w:tabs>
          <w:tab w:val="left" w:pos="935"/>
        </w:tabs>
        <w:spacing w:after="0" w:line="240" w:lineRule="auto"/>
        <w:ind w:firstLineChars="300" w:firstLine="8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дальнейшему повышению квалификации специалистов учреждения посредством организации различного уровня внутреннего и выездного обучения;</w:t>
      </w:r>
    </w:p>
    <w:p w:rsidR="002B3F65" w:rsidRPr="000877EA" w:rsidRDefault="00A277DB">
      <w:pPr>
        <w:spacing w:after="0" w:line="240" w:lineRule="auto"/>
        <w:ind w:firstLineChars="300" w:firstLine="8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взаимодействию с субъектами системы профилактики для проведения работы среди лиц, освободившихся из мест лишения свободы, с целью профилактики повторных правонарушений;</w:t>
      </w:r>
    </w:p>
    <w:p w:rsidR="002B3F65" w:rsidRPr="000877EA" w:rsidRDefault="00A277DB">
      <w:pPr>
        <w:spacing w:after="0" w:line="240" w:lineRule="auto"/>
        <w:ind w:firstLineChars="250" w:firstLine="70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информационно-просветительской работы среди населения обслуживаемых территорий по различным направлениям профилактической деятельности.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процессе решения поставленных задач осуществлялась деятельность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F65" w:rsidRPr="000877EA" w:rsidRDefault="00A277DB">
      <w:pPr>
        <w:tabs>
          <w:tab w:val="left" w:pos="6523"/>
        </w:tabs>
        <w:spacing w:after="0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получателям социальных услуг (их законным представителям) бесплатно в доступной форме информации об их правах и обязанностях, о видах социальных услуг, сроках, порядке и условиях их предоставления, о тарифах на эти услуги и об их стоимости для получателя социальных услуг либо возможности получения их бесплатно;</w:t>
      </w:r>
    </w:p>
    <w:p w:rsidR="002B3F65" w:rsidRPr="000877EA" w:rsidRDefault="00A277DB">
      <w:pPr>
        <w:tabs>
          <w:tab w:val="left" w:pos="6523"/>
        </w:tabs>
        <w:spacing w:after="0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информирование граждан о порядке получения социальных услуг в соответствии с  действующим законодательством Российской Федерации и Свердловской области;</w:t>
      </w:r>
    </w:p>
    <w:p w:rsidR="002B3F65" w:rsidRPr="000877EA" w:rsidRDefault="00A277DB">
      <w:pPr>
        <w:tabs>
          <w:tab w:val="left" w:pos="6523"/>
        </w:tabs>
        <w:spacing w:after="0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получателям социальных услуг в соответствии с индивидуальными программами предоставления социальных услуг и условиями договоров о предоставлении социальных услуг, заключенных с получателями социальных услуг или их законными представителями, в соответствии с нормами действующего законодательства Российской Федерации и Свердловской области;</w:t>
      </w:r>
    </w:p>
    <w:p w:rsidR="002B3F65" w:rsidRPr="000877EA" w:rsidRDefault="00A277DB">
      <w:pPr>
        <w:tabs>
          <w:tab w:val="left" w:pos="6523"/>
        </w:tabs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мероприятий социального характера для граждан, проживающих на территории Белоярского района и города Заречного, и, прежде всего, качественного социального обслуживания.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структуру ГАУ «КЦСОН «Забота» Белоярского района» включены следующие отделения: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социального обслуживания на дому (10 отделений);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срочного социального обслуживания;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социально-реабилитационное отделение;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временного пребывания;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профилактики безнадзорности несовершеннолетних;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сопровождения замещающих семей;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психолого-педагогической помощи;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участковая социальная служба.</w:t>
      </w:r>
    </w:p>
    <w:p w:rsidR="002B3F65" w:rsidRPr="000877EA" w:rsidRDefault="002B3F65">
      <w:pPr>
        <w:tabs>
          <w:tab w:val="left" w:pos="652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652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Укомплектованность и качественный состав кадров</w:t>
      </w:r>
    </w:p>
    <w:p w:rsidR="002B3F65" w:rsidRPr="000877EA" w:rsidRDefault="00A277DB">
      <w:pPr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начало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 учреждении штатная численность составляет  162 единиц (2019 год - 134 единиц). Показатель 2020 года выше показателя аналогичного периода прошлого года на 28единиц, что связано с проведенной в феврале 2019 года реорганизацией учреждения путем присоединения ГАУ «СРЦН Белоярского района». </w:t>
      </w:r>
    </w:p>
    <w:p w:rsidR="002B3F65" w:rsidRPr="000877EA" w:rsidRDefault="00A277DB">
      <w:pPr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Start"/>
      <w:r w:rsidR="004E459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2020 года численный состав работников учреждения составляет 161человек, из них: работающих</w:t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- 150 человек (2019 год – 148 человек)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отпуске по уходу за ребенком (в отпуске по беременности и родам) – 11 человек (2019 год -</w:t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человек).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 коллективе –149 человек  (2019 год -</w:t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148 человек),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- 12 человек (2019 год -12 человек).</w:t>
      </w:r>
    </w:p>
    <w:p w:rsidR="002B3F65" w:rsidRPr="000877EA" w:rsidRDefault="002B3F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F65" w:rsidRPr="000877EA" w:rsidRDefault="00A277D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уровень сотрудников учреждения</w:t>
      </w:r>
    </w:p>
    <w:p w:rsidR="002B3F65" w:rsidRPr="000877EA" w:rsidRDefault="00A277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16</w:t>
      </w:r>
      <w:r w:rsidR="004E459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(2019 год -160 человек), работающих в учреждении, 55 человек (2019 год -</w:t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 человека</w:t>
      </w:r>
      <w:proofErr w:type="gramStart"/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34,16%))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высшее – профессиональное образование,  74 (2019 год </w:t>
      </w:r>
      <w:r w:rsidR="004E459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62человека(45,96%))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; среднее специальное - 32 человека (2019 год –31 чел. (19,88%).</w:t>
      </w:r>
    </w:p>
    <w:tbl>
      <w:tblPr>
        <w:tblW w:w="8991" w:type="dxa"/>
        <w:tblInd w:w="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</w:tblGrid>
      <w:tr w:rsidR="002B3F65" w:rsidRPr="000877EA">
        <w:trPr>
          <w:trHeight w:val="207"/>
        </w:trPr>
        <w:tc>
          <w:tcPr>
            <w:tcW w:w="8991" w:type="dxa"/>
            <w:vAlign w:val="bottom"/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3F65" w:rsidRPr="000877EA" w:rsidRDefault="00A277DB">
            <w:pPr>
              <w:spacing w:after="0"/>
              <w:jc w:val="center"/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Возрастные характеристики сотрудников по состоянию </w:t>
            </w:r>
          </w:p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4E459A" w:rsidRPr="000877EA"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ru-RU"/>
              </w:rPr>
              <w:t>30.06.</w:t>
            </w:r>
            <w:r w:rsidRPr="000877EA"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2020 года </w:t>
            </w:r>
          </w:p>
        </w:tc>
      </w:tr>
    </w:tbl>
    <w:p w:rsidR="002B3F65" w:rsidRPr="000877EA" w:rsidRDefault="00A277DB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возрастных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  на конец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квартала 2020 года показал: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956"/>
        <w:gridCol w:w="992"/>
        <w:gridCol w:w="992"/>
        <w:gridCol w:w="992"/>
        <w:gridCol w:w="851"/>
        <w:gridCol w:w="992"/>
        <w:gridCol w:w="1134"/>
        <w:gridCol w:w="1134"/>
      </w:tblGrid>
      <w:tr w:rsidR="002B3F65" w:rsidRPr="000877EA">
        <w:tc>
          <w:tcPr>
            <w:tcW w:w="2413" w:type="dxa"/>
            <w:vMerge w:val="restart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</w:t>
            </w:r>
          </w:p>
        </w:tc>
        <w:tc>
          <w:tcPr>
            <w:tcW w:w="8043" w:type="dxa"/>
            <w:gridSpan w:val="8"/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Возрастной диапазон работников учреждения</w:t>
            </w:r>
          </w:p>
        </w:tc>
      </w:tr>
      <w:tr w:rsidR="002B3F65" w:rsidRPr="000877EA">
        <w:trPr>
          <w:cantSplit/>
          <w:trHeight w:val="1618"/>
        </w:trPr>
        <w:tc>
          <w:tcPr>
            <w:tcW w:w="2413" w:type="dxa"/>
            <w:vMerge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DBE5F1" w:themeFill="accent1" w:themeFillTint="33"/>
            <w:textDirection w:val="btLr"/>
            <w:vAlign w:val="center"/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отделении</w:t>
            </w:r>
          </w:p>
        </w:tc>
        <w:tc>
          <w:tcPr>
            <w:tcW w:w="992" w:type="dxa"/>
            <w:textDirection w:val="btLr"/>
            <w:vAlign w:val="center"/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отделении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отделении</w:t>
            </w:r>
          </w:p>
        </w:tc>
        <w:tc>
          <w:tcPr>
            <w:tcW w:w="1134" w:type="dxa"/>
            <w:textDirection w:val="btLr"/>
            <w:vAlign w:val="center"/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отделении</w:t>
            </w:r>
          </w:p>
        </w:tc>
      </w:tr>
      <w:tr w:rsidR="002B3F65" w:rsidRPr="000877EA">
        <w:tc>
          <w:tcPr>
            <w:tcW w:w="2413" w:type="dxa"/>
            <w:vMerge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50 лет</w:t>
            </w:r>
          </w:p>
        </w:tc>
        <w:tc>
          <w:tcPr>
            <w:tcW w:w="992" w:type="dxa"/>
            <w:vMerge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до 65 лет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+</w:t>
            </w:r>
          </w:p>
        </w:tc>
        <w:tc>
          <w:tcPr>
            <w:tcW w:w="1134" w:type="dxa"/>
            <w:vMerge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Отделени</w:t>
            </w:r>
            <w:r w:rsidR="004E459A" w:rsidRPr="00087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087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социального обслуживания на дому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Белоярский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Бруснятское</w:t>
            </w:r>
            <w:proofErr w:type="spellEnd"/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Большебрусянское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Верхнее Дуброво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Заречный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Камышево</w:t>
            </w:r>
            <w:proofErr w:type="spellEnd"/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Кочневское</w:t>
            </w:r>
            <w:proofErr w:type="spellEnd"/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Студенческое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Хромцово</w:t>
            </w:r>
            <w:proofErr w:type="spellEnd"/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Черноусово</w:t>
            </w:r>
            <w:proofErr w:type="spellEnd"/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профилактики безнадзорности несовершеннолетних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психолого-педагогической помощи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сопровождения замещающих семей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Отделение участковой социальной службы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Социально-реабилитационное отделение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временного проживания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Хозяйственный персонал (содержание и обслуживание зданий и инженерных коммуникаций, транспортных средств)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2B3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</w:tr>
      <w:tr w:rsidR="002B3F65" w:rsidRPr="000877EA">
        <w:trPr>
          <w:trHeight w:val="555"/>
        </w:trPr>
        <w:tc>
          <w:tcPr>
            <w:tcW w:w="2413" w:type="dxa"/>
          </w:tcPr>
          <w:p w:rsidR="002B3F65" w:rsidRPr="000877EA" w:rsidRDefault="00A277DB" w:rsidP="004E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7,45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6,21</w:t>
            </w:r>
          </w:p>
        </w:tc>
      </w:tr>
    </w:tbl>
    <w:p w:rsidR="002B3F65" w:rsidRPr="000877EA" w:rsidRDefault="002B3F65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spacing w:after="0"/>
        <w:ind w:firstLine="3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сотрудников по стажу работы в Учреждении свидетельствует: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1924"/>
        <w:gridCol w:w="1925"/>
        <w:gridCol w:w="1925"/>
        <w:gridCol w:w="1925"/>
      </w:tblGrid>
      <w:tr w:rsidR="002B3F65" w:rsidRPr="000877EA">
        <w:tc>
          <w:tcPr>
            <w:tcW w:w="2757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3F65" w:rsidRPr="000877EA" w:rsidRDefault="00A277DB">
            <w:pPr>
              <w:tabs>
                <w:tab w:val="left" w:pos="700"/>
              </w:tabs>
              <w:spacing w:after="0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Отделения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До 3-х лет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От 3-х до 5 лет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От 5-ти до 10 лет</w:t>
            </w:r>
          </w:p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Свыше 10 лет</w:t>
            </w:r>
          </w:p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 w:rsidP="004E45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Отделени</w:t>
            </w:r>
            <w:r w:rsidR="004E459A" w:rsidRPr="00087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087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социального обслуживания на дому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24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Белоярский 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Бруснятское</w:t>
            </w:r>
            <w:proofErr w:type="spellEnd"/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Большебрусянское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Верхнее Дуброво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Заречный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Камышево</w:t>
            </w:r>
            <w:proofErr w:type="spellEnd"/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Кочневское</w:t>
            </w:r>
            <w:proofErr w:type="spellEnd"/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Студенческое</w:t>
            </w:r>
          </w:p>
        </w:tc>
        <w:tc>
          <w:tcPr>
            <w:tcW w:w="1924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Хромцово</w:t>
            </w:r>
            <w:proofErr w:type="spellEnd"/>
          </w:p>
        </w:tc>
        <w:tc>
          <w:tcPr>
            <w:tcW w:w="1924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Черноусово</w:t>
            </w:r>
            <w:proofErr w:type="spellEnd"/>
          </w:p>
        </w:tc>
        <w:tc>
          <w:tcPr>
            <w:tcW w:w="1924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профилактики безнадзорности несовершеннолетних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психолого-педагогической помощи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сопровождения замещающих семей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участковой социальной службы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5" w:type="dxa"/>
          </w:tcPr>
          <w:p w:rsidR="002B3F65" w:rsidRPr="000877EA" w:rsidRDefault="002B3F65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Социально-реабилитационное отделение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временного проживания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Хозяйственный персонал (содержание и обслуживание зданий и инженерных коммуникаций, транспортных средств)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B3F65" w:rsidRPr="000877EA">
        <w:tc>
          <w:tcPr>
            <w:tcW w:w="2757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24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25" w:type="dxa"/>
          </w:tcPr>
          <w:p w:rsidR="002B3F65" w:rsidRPr="000877EA" w:rsidRDefault="00A277DB">
            <w:pPr>
              <w:tabs>
                <w:tab w:val="left" w:pos="700"/>
              </w:tabs>
              <w:spacing w:after="0"/>
              <w:jc w:val="center"/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</w:tr>
    </w:tbl>
    <w:p w:rsidR="002B3F65" w:rsidRPr="000877EA" w:rsidRDefault="002B3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91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Большая роль в учреждении отводится </w:t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обучению и повышению квалификации работающих специалистов.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реализуется путем создания условий для повышения квалификации специалистов учреждения через организацию различного уровня внутреннего и выездного обучения. С этой целью используются такие формы, как: направление специалистов на курсы повышения квалификации в обучающие организации на территории города Екатеринбурга, с получением соответствующих документов (сертификатов, удостоверений, дипломов).</w:t>
      </w:r>
    </w:p>
    <w:p w:rsidR="002B3F65" w:rsidRPr="000877EA" w:rsidRDefault="00A277DB">
      <w:pPr>
        <w:tabs>
          <w:tab w:val="left" w:pos="91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</w:t>
      </w:r>
      <w:r w:rsidR="004E459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2020 года прошли курсы повышения квалификации/переподготовки, семинары для работ учреждений социальной сферы с получением соответствующих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1951"/>
        <w:gridCol w:w="2034"/>
        <w:gridCol w:w="2097"/>
        <w:gridCol w:w="1582"/>
      </w:tblGrid>
      <w:tr w:rsidR="002B3F65" w:rsidRPr="000877EA" w:rsidTr="004E459A">
        <w:tc>
          <w:tcPr>
            <w:tcW w:w="2758" w:type="dxa"/>
            <w:vMerge w:val="restart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</w:t>
            </w:r>
          </w:p>
        </w:tc>
        <w:tc>
          <w:tcPr>
            <w:tcW w:w="7664" w:type="dxa"/>
            <w:gridSpan w:val="4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показатель, чел.</w:t>
            </w:r>
          </w:p>
        </w:tc>
      </w:tr>
      <w:tr w:rsidR="002B3F65" w:rsidRPr="000877EA" w:rsidTr="004E459A">
        <w:tc>
          <w:tcPr>
            <w:tcW w:w="2758" w:type="dxa"/>
            <w:vMerge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</w:t>
            </w:r>
          </w:p>
        </w:tc>
        <w:tc>
          <w:tcPr>
            <w:tcW w:w="2034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удостоверения</w:t>
            </w:r>
          </w:p>
        </w:tc>
        <w:tc>
          <w:tcPr>
            <w:tcW w:w="2097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 о переподготовке</w:t>
            </w:r>
          </w:p>
        </w:tc>
        <w:tc>
          <w:tcPr>
            <w:tcW w:w="1582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B3F65" w:rsidRPr="000877EA" w:rsidTr="004E459A">
        <w:tc>
          <w:tcPr>
            <w:tcW w:w="2758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профилактики безнадзорности несовершеннолетних</w:t>
            </w:r>
          </w:p>
        </w:tc>
        <w:tc>
          <w:tcPr>
            <w:tcW w:w="1951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4" w:type="dxa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2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3F65" w:rsidRPr="000877EA" w:rsidTr="004E459A">
        <w:tc>
          <w:tcPr>
            <w:tcW w:w="2758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психолого-педагогической помощи</w:t>
            </w:r>
          </w:p>
        </w:tc>
        <w:tc>
          <w:tcPr>
            <w:tcW w:w="1951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4" w:type="dxa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3F65" w:rsidRPr="000877EA" w:rsidTr="004E459A">
        <w:tc>
          <w:tcPr>
            <w:tcW w:w="2758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сопровождения замещающих семей</w:t>
            </w:r>
          </w:p>
        </w:tc>
        <w:tc>
          <w:tcPr>
            <w:tcW w:w="1951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4" w:type="dxa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2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3F65" w:rsidRPr="000877EA" w:rsidTr="004E459A">
        <w:tc>
          <w:tcPr>
            <w:tcW w:w="2758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участковой социальной службы</w:t>
            </w:r>
          </w:p>
        </w:tc>
        <w:tc>
          <w:tcPr>
            <w:tcW w:w="1951" w:type="dxa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2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3F65" w:rsidRPr="000877EA" w:rsidTr="004E459A">
        <w:tc>
          <w:tcPr>
            <w:tcW w:w="2758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Социально-реабилитационное отделение</w:t>
            </w:r>
          </w:p>
        </w:tc>
        <w:tc>
          <w:tcPr>
            <w:tcW w:w="1951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4" w:type="dxa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3F65" w:rsidRPr="000877EA" w:rsidTr="004E459A">
        <w:tc>
          <w:tcPr>
            <w:tcW w:w="2758" w:type="dxa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951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4" w:type="dxa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2" w:type="dxa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3F65" w:rsidRPr="000877EA" w:rsidTr="004E459A">
        <w:tc>
          <w:tcPr>
            <w:tcW w:w="2758" w:type="dxa"/>
            <w:shd w:val="clear" w:color="auto" w:fill="DBE5F1" w:themeFill="accent1" w:themeFillTint="33"/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51" w:type="dxa"/>
            <w:shd w:val="clear" w:color="auto" w:fill="DBE5F1" w:themeFill="accent1" w:themeFillTint="33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34" w:type="dxa"/>
            <w:shd w:val="clear" w:color="auto" w:fill="DBE5F1" w:themeFill="accent1" w:themeFillTint="33"/>
          </w:tcPr>
          <w:p w:rsidR="002B3F65" w:rsidRPr="000877EA" w:rsidRDefault="002B3F65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DBE5F1" w:themeFill="accent1" w:themeFillTint="33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2" w:type="dxa"/>
            <w:shd w:val="clear" w:color="auto" w:fill="DBE5F1" w:themeFill="accent1" w:themeFillTint="33"/>
          </w:tcPr>
          <w:p w:rsidR="002B3F65" w:rsidRPr="000877EA" w:rsidRDefault="00A277DB">
            <w:pPr>
              <w:tabs>
                <w:tab w:val="left" w:pos="9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2B3F65" w:rsidRPr="000877EA" w:rsidRDefault="002B3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профилю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сотрудники учреждения ежегодно проходят обучение по пожарной безопасности</w:t>
      </w:r>
      <w:r w:rsidR="004E459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охране труда, ГО и ЧС. Во втором квартале 2020 года плановое </w:t>
      </w:r>
      <w:proofErr w:type="gramStart"/>
      <w:r w:rsidR="004E459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работников по охране</w:t>
      </w:r>
      <w:proofErr w:type="gramEnd"/>
      <w:r w:rsidR="004E459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незапланировано.</w:t>
      </w:r>
    </w:p>
    <w:p w:rsidR="002B3F65" w:rsidRPr="000877EA" w:rsidRDefault="00312FA7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втором квартале 2020 года награждены</w:t>
      </w:r>
      <w:r w:rsidR="00E11B1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трудовые заслуги 73 работника центра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12FA7" w:rsidRPr="000877EA" w:rsidRDefault="00312FA7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Почетной грамотой Главы городского округа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Заречный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человека;</w:t>
      </w:r>
    </w:p>
    <w:p w:rsidR="00312FA7" w:rsidRPr="000877EA" w:rsidRDefault="00312FA7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Благодарственным письмом Главы городского округа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Заречный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человека;</w:t>
      </w:r>
    </w:p>
    <w:p w:rsidR="00312FA7" w:rsidRPr="000877EA" w:rsidRDefault="00312FA7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Почетной грамотой Главы Белоярского городского округа – 5 человек;</w:t>
      </w:r>
    </w:p>
    <w:p w:rsidR="00312FA7" w:rsidRPr="000877EA" w:rsidRDefault="00312FA7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Благодарственымпистмом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Белоярского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гродского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15 человек;</w:t>
      </w:r>
    </w:p>
    <w:p w:rsidR="00312FA7" w:rsidRPr="000877EA" w:rsidRDefault="00312FA7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Почетной грамотой Управления социальной политики № 10 Свердловской области – 7 человек;</w:t>
      </w:r>
    </w:p>
    <w:p w:rsidR="00312FA7" w:rsidRPr="000877EA" w:rsidRDefault="00312FA7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Почетной грамотой ГА</w:t>
      </w:r>
      <w:r w:rsidR="00E11B1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«КЦСОН «Забота» Белоярского района» - 17 человек;</w:t>
      </w:r>
    </w:p>
    <w:p w:rsidR="00312FA7" w:rsidRPr="000877EA" w:rsidRDefault="00312FA7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Благодарностью ГАУ </w:t>
      </w:r>
      <w:r w:rsidR="00E11B1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КЦСОН «Забота» Белоярского района» </w:t>
      </w:r>
      <w:r w:rsidR="00E11B1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 человека.</w:t>
      </w:r>
    </w:p>
    <w:p w:rsidR="002B3F65" w:rsidRPr="000877EA" w:rsidRDefault="00A277DB">
      <w:pPr>
        <w:tabs>
          <w:tab w:val="left" w:pos="6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гражданам предоставляются в трех формах: на дому, в полустационарной и стационарной.</w:t>
      </w:r>
      <w:proofErr w:type="gramEnd"/>
    </w:p>
    <w:p w:rsidR="002B3F65" w:rsidRPr="000877EA" w:rsidRDefault="002B3F65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652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Выполнение государственного задания</w:t>
      </w:r>
    </w:p>
    <w:p w:rsidR="002B3F65" w:rsidRPr="000877EA" w:rsidRDefault="00A277DB">
      <w:pPr>
        <w:tabs>
          <w:tab w:val="left" w:pos="6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Государственное  задание по предоставлению социальных услуг гражданам выполняется в трех формах: на дому, в полустационарной и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стационарной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государственного задания по учреждению: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B3F65" w:rsidRPr="000877EA">
        <w:tc>
          <w:tcPr>
            <w:tcW w:w="2605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форме социального обслуживания</w:t>
            </w:r>
          </w:p>
        </w:tc>
        <w:tc>
          <w:tcPr>
            <w:tcW w:w="2605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показатель</w:t>
            </w:r>
          </w:p>
        </w:tc>
        <w:tc>
          <w:tcPr>
            <w:tcW w:w="2606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Фактический показатель</w:t>
            </w:r>
          </w:p>
        </w:tc>
        <w:tc>
          <w:tcPr>
            <w:tcW w:w="2606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2B3F65" w:rsidRPr="000877EA">
        <w:tc>
          <w:tcPr>
            <w:tcW w:w="2605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стационарной форме социального обслуживания</w:t>
            </w:r>
          </w:p>
        </w:tc>
        <w:tc>
          <w:tcPr>
            <w:tcW w:w="2605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606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606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42,7</w:t>
            </w:r>
          </w:p>
        </w:tc>
      </w:tr>
      <w:tr w:rsidR="002B3F65" w:rsidRPr="000877EA">
        <w:tc>
          <w:tcPr>
            <w:tcW w:w="2605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полустационарной форме социального обслуживания</w:t>
            </w:r>
          </w:p>
        </w:tc>
        <w:tc>
          <w:tcPr>
            <w:tcW w:w="2605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2606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2606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215,6</w:t>
            </w:r>
          </w:p>
        </w:tc>
      </w:tr>
      <w:tr w:rsidR="002B3F65" w:rsidRPr="000877EA">
        <w:tc>
          <w:tcPr>
            <w:tcW w:w="2605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форме социального обслуживания на дому</w:t>
            </w:r>
          </w:p>
        </w:tc>
        <w:tc>
          <w:tcPr>
            <w:tcW w:w="2605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606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220,25</w:t>
            </w:r>
          </w:p>
        </w:tc>
        <w:tc>
          <w:tcPr>
            <w:tcW w:w="2606" w:type="dxa"/>
          </w:tcPr>
          <w:p w:rsidR="002B3F65" w:rsidRPr="000877EA" w:rsidRDefault="00A2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</w:tr>
    </w:tbl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квартал оказано гражданам 60015 социальных услуг, в том числе  гарантированный объем бесплатных услуг  составляет 23139 единиц; на условиях частичной оплаты - 501 единица, на условиях полной оплаты - 36375 единиц; сверх гарантированного объема услуги не предоставлялись.</w:t>
      </w:r>
    </w:p>
    <w:p w:rsidR="002B3F65" w:rsidRPr="000877EA" w:rsidRDefault="002B3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652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Форма социального обслуживания на дому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Социальные услуги в форме социального обслуживания на дому предоставлены 919 гражданам (2020 год, 1 квартал – 932 чел.), в том числе 118 (1 квартал 2020 года - 106) несовершеннолетним, 456 нуждающихся в социальном обслуживании, имеющих статус инвалида, в том числе 40 детей (1 квартал - 338).  Показатель 1 квартала 2020 года ниже показателя 2 квартала 2020 года на 34%. Плановый показатель государственного задания на 2020 год по надомному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обслуживанию граждан составляет 908 чел. Утвержденное значение в государственном задании на отчетную дату - 227;  исполненное значение на отчетную дату составляет 220,25 (1 квартал 2020 года - 225,92). Выполнение государственного задания по надомной форме социального обслуживания за 2 квартал 2020 года составляет  9</w:t>
      </w:r>
      <w:r w:rsidR="00C50B8C">
        <w:rPr>
          <w:rFonts w:ascii="Times New Roman" w:eastAsia="Times New Roman" w:hAnsi="Times New Roman" w:cs="Times New Roman"/>
          <w:sz w:val="28"/>
          <w:szCs w:val="28"/>
          <w:lang w:eastAsia="ru-RU"/>
        </w:rPr>
        <w:t>7% (1 квартал 2020 года - 99,5%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показано выполнение государственного задания в разрезе отделений:</w:t>
      </w:r>
    </w:p>
    <w:tbl>
      <w:tblPr>
        <w:tblStyle w:val="af3"/>
        <w:tblW w:w="10462" w:type="dxa"/>
        <w:tblLook w:val="04A0" w:firstRow="1" w:lastRow="0" w:firstColumn="1" w:lastColumn="0" w:noHBand="0" w:noVBand="1"/>
      </w:tblPr>
      <w:tblGrid>
        <w:gridCol w:w="2721"/>
        <w:gridCol w:w="2721"/>
        <w:gridCol w:w="2722"/>
        <w:gridCol w:w="2298"/>
      </w:tblGrid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Отделения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показатель года (уникальный клиент)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Фактический показатель 2 квартала/против показателя  1 квартала (уникальные клиенты)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исполнения по отношению к плановому показателю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Белоярский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100/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83,0/101,67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Большебрусянское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86/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101,2/102,35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Бруснятское</w:t>
            </w:r>
            <w:proofErr w:type="spellEnd"/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52/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106,5/108,16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Верхнее Дуброво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135/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101,5/100,75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Заречный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123/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102,5/102,5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Камышево</w:t>
            </w:r>
            <w:proofErr w:type="spellEnd"/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58/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96,7/103.33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Кочневское</w:t>
            </w:r>
            <w:proofErr w:type="spellEnd"/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60/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100,0/98,33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Студенческое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64/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106,6/105,0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Черноусово</w:t>
            </w:r>
            <w:proofErr w:type="spellEnd"/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100,0/100,0</w:t>
            </w:r>
          </w:p>
        </w:tc>
      </w:tr>
      <w:tr w:rsidR="002B3F65" w:rsidRPr="000877EA">
        <w:trPr>
          <w:trHeight w:val="326"/>
        </w:trPr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Храмцово</w:t>
            </w:r>
            <w:proofErr w:type="spellEnd"/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101,4/102,86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ОПБН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61/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122,0/102,0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ОППП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35/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116,7/116,67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ОСЗС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877EA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115,0/100,0</w:t>
            </w:r>
          </w:p>
        </w:tc>
      </w:tr>
      <w:tr w:rsidR="002B3F65" w:rsidRPr="000877EA"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обслужено на дому, чел.</w:t>
            </w:r>
          </w:p>
        </w:tc>
        <w:tc>
          <w:tcPr>
            <w:tcW w:w="272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908</w:t>
            </w: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значение</w:t>
            </w:r>
            <w:proofErr w:type="spellEnd"/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227)</w:t>
            </w:r>
          </w:p>
        </w:tc>
        <w:tc>
          <w:tcPr>
            <w:tcW w:w="2722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919/932</w:t>
            </w:r>
          </w:p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значение</w:t>
            </w:r>
            <w:proofErr w:type="spellEnd"/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220,25/225,92)</w:t>
            </w:r>
          </w:p>
        </w:tc>
        <w:tc>
          <w:tcPr>
            <w:tcW w:w="2298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101,4/102,64</w:t>
            </w:r>
          </w:p>
        </w:tc>
      </w:tr>
    </w:tbl>
    <w:p w:rsidR="002B3F65" w:rsidRPr="000877EA" w:rsidRDefault="002B3F65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фактического показателя второго квартала  говорит о снижении количества граждан, получивших социальные услуги в форме социального обслуживания на дому, на 13 человек по сравнению с 1 кварталом 2020 года, что связанно, в первую очередь, с введенными ограничительными мероприятиями по предупреждению распространения коронавирусной инфекции, так как одним из условий для получения социальных услуг является наличие медицинского заключения, которое, по указанной выше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причине, не мог потенциальный клиент получить в медицинском учреждении. </w:t>
      </w: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в течение 2 квартала социальные услуги на дому получили 884 граждан, из них 106 несовершеннолетних. Завершена работа по социальному обслуживанию в отношении  35 человек по причине отказа по заявлению от услуг, смерти клиента, завершения срока действия договора.</w:t>
      </w: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обслуженных граждан по половой характеристике:</w:t>
      </w: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квартал 2020  года                                2 квартал 2020 года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381"/>
        <w:gridCol w:w="5046"/>
      </w:tblGrid>
      <w:tr w:rsidR="002B3F65" w:rsidRPr="000877EA">
        <w:tc>
          <w:tcPr>
            <w:tcW w:w="4776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78D948" wp14:editId="0034782D">
                  <wp:extent cx="2924175" cy="1600200"/>
                  <wp:effectExtent l="4445" t="4445" r="5080" b="14605"/>
                  <wp:docPr id="11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81" w:type="dxa"/>
          </w:tcPr>
          <w:p w:rsidR="002B3F65" w:rsidRPr="000877EA" w:rsidRDefault="002B3F65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F301BA" wp14:editId="4096434B">
                  <wp:extent cx="3048000" cy="1600200"/>
                  <wp:effectExtent l="4445" t="4445" r="14605" b="14605"/>
                  <wp:docPr id="12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показателей востребованности в социальном обслуживании граждан в форме социального обслуживания на дому по половой принадлежности, видно, что спрос на социальное обслуживание у женской категории  выше, чем у мужской.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Причем,  число клиентов женской категории, находящихся на социальном обслуживании,  во 2 квартале снижен на 1% по сравнению с 1 кварталом, что также объясняется смертностью клиентов в возрастной группе 79- 90 лет. Отмечен рост поданных заявлений от граждан, проживающих в сельских территориях, на социальное обслуживание в форме социального обслуживания  на дому в мужской группе клиентов на 5 человек.</w:t>
      </w: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несовершеннолетние, состоящие на социальном обслуживании сформе социального обслуживания на дому: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2"/>
        <w:gridCol w:w="5130"/>
      </w:tblGrid>
      <w:tr w:rsidR="002B3F65" w:rsidRPr="000877EA">
        <w:tc>
          <w:tcPr>
            <w:tcW w:w="553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квартал 2020 года</w:t>
            </w:r>
          </w:p>
        </w:tc>
        <w:tc>
          <w:tcPr>
            <w:tcW w:w="235" w:type="dxa"/>
          </w:tcPr>
          <w:p w:rsidR="002B3F65" w:rsidRPr="000877EA" w:rsidRDefault="002B3F65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6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квартал 2020 года</w:t>
            </w:r>
          </w:p>
        </w:tc>
      </w:tr>
      <w:tr w:rsidR="002B3F65" w:rsidRPr="000877EA">
        <w:tc>
          <w:tcPr>
            <w:tcW w:w="553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A06CBC" wp14:editId="287855FE">
                  <wp:extent cx="3105150" cy="1428750"/>
                  <wp:effectExtent l="5080" t="4445" r="13970" b="14605"/>
                  <wp:docPr id="13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2B3F65" w:rsidRPr="000877EA" w:rsidRDefault="002B3F65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6" w:type="dxa"/>
          </w:tcPr>
          <w:p w:rsidR="002B3F65" w:rsidRPr="000877EA" w:rsidRDefault="00A277DB">
            <w:pPr>
              <w:tabs>
                <w:tab w:val="left" w:pos="61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87C81E" wp14:editId="1314EE62">
                  <wp:extent cx="3143250" cy="1428750"/>
                  <wp:effectExtent l="5080" t="4445" r="13970" b="14605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Издиаграммы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что в среднем на 50% повышен показатель охвата надомной формой социального обслуживания несовершеннолетних по половому признаку по сравнению с 1 кварталом 2020 года. Во втором квартале составлено  по надомной форме социального обслуживания 2643 акта выполненных работ против 2711 актов 1 квартале.</w:t>
      </w: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востребованности услуг получателями в  2019 году позволил сформировать годовой плановый показатель по учреждению по всем видам социальных услуг: социально-бытовым, социально-медицинским, социально-педагогическим, социально-психологическим, социально-трудовым, социально-правовым, коммуникативным услугам, для понимания наиболее востребованных социальных услуг. 09.01.2020 года издан приказ «Об утверждении государственного задания на 2020 год и возложение ответственности за предоставление достоверной отчетности», в приложениях которого произведена разбивка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госзадания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отделениям, в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и по услугам,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гражданам. Ниже в таблице представлены суммарные количественные показатели по всем видам социальных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 и в процентном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соотношенииот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планового показателя, оказанные отделениями в форме социального обслуживания на дому в 1 и во 2 кварталах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8"/>
        <w:gridCol w:w="3780"/>
        <w:gridCol w:w="2362"/>
        <w:gridCol w:w="2101"/>
        <w:gridCol w:w="1481"/>
      </w:tblGrid>
      <w:tr w:rsidR="002B3F65" w:rsidRPr="000877EA">
        <w:tc>
          <w:tcPr>
            <w:tcW w:w="817" w:type="dxa"/>
            <w:vMerge w:val="restart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4536" w:type="dxa"/>
            <w:gridSpan w:val="3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услуг (работ), штук (единиц)</w:t>
            </w:r>
          </w:p>
        </w:tc>
      </w:tr>
      <w:tr w:rsidR="002B3F65" w:rsidRPr="000877EA">
        <w:tc>
          <w:tcPr>
            <w:tcW w:w="817" w:type="dxa"/>
            <w:vMerge/>
          </w:tcPr>
          <w:p w:rsidR="002B3F65" w:rsidRPr="000877EA" w:rsidRDefault="002B3F65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2B3F65" w:rsidRPr="000877EA" w:rsidRDefault="002B3F65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квартала (ориентировочно)</w:t>
            </w:r>
          </w:p>
        </w:tc>
        <w:tc>
          <w:tcPr>
            <w:tcW w:w="1276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Сравнительный показатель 2 и 1 квартала</w:t>
            </w:r>
          </w:p>
        </w:tc>
        <w:tc>
          <w:tcPr>
            <w:tcW w:w="1559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B3F65" w:rsidRPr="000877EA">
        <w:tc>
          <w:tcPr>
            <w:tcW w:w="817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Отделения социального обслуживания на дому (ОСО на дому -10 отделений)</w:t>
            </w:r>
          </w:p>
        </w:tc>
        <w:tc>
          <w:tcPr>
            <w:tcW w:w="170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49135,25</w:t>
            </w:r>
          </w:p>
        </w:tc>
        <w:tc>
          <w:tcPr>
            <w:tcW w:w="1276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44476/49794</w:t>
            </w:r>
          </w:p>
        </w:tc>
        <w:tc>
          <w:tcPr>
            <w:tcW w:w="1559" w:type="dxa"/>
          </w:tcPr>
          <w:p w:rsidR="002B3F65" w:rsidRPr="000877EA" w:rsidRDefault="00A277DB">
            <w:pPr>
              <w:tabs>
                <w:tab w:val="left" w:pos="6523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90,5/101,3</w:t>
            </w:r>
          </w:p>
        </w:tc>
      </w:tr>
      <w:tr w:rsidR="002B3F65" w:rsidRPr="000877EA">
        <w:tc>
          <w:tcPr>
            <w:tcW w:w="817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Отделение профилактики безнадзорности несовершеннолетних (ОПБН)</w:t>
            </w:r>
          </w:p>
        </w:tc>
        <w:tc>
          <w:tcPr>
            <w:tcW w:w="170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323,5</w:t>
            </w:r>
          </w:p>
        </w:tc>
        <w:tc>
          <w:tcPr>
            <w:tcW w:w="1276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329/1085</w:t>
            </w:r>
          </w:p>
        </w:tc>
        <w:tc>
          <w:tcPr>
            <w:tcW w:w="1559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102/335,0</w:t>
            </w:r>
          </w:p>
        </w:tc>
      </w:tr>
      <w:tr w:rsidR="002B3F65" w:rsidRPr="000877EA">
        <w:tc>
          <w:tcPr>
            <w:tcW w:w="817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Отделение сопровождения замещающих семей (ОСЗС)</w:t>
            </w:r>
          </w:p>
        </w:tc>
        <w:tc>
          <w:tcPr>
            <w:tcW w:w="170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136,3</w:t>
            </w:r>
          </w:p>
        </w:tc>
        <w:tc>
          <w:tcPr>
            <w:tcW w:w="1276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204/684</w:t>
            </w:r>
          </w:p>
        </w:tc>
        <w:tc>
          <w:tcPr>
            <w:tcW w:w="1559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150/502</w:t>
            </w:r>
          </w:p>
        </w:tc>
      </w:tr>
      <w:tr w:rsidR="002B3F65" w:rsidRPr="000877EA">
        <w:tc>
          <w:tcPr>
            <w:tcW w:w="817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Отделение психолого-педагогической помощи (ОППП)</w:t>
            </w:r>
          </w:p>
        </w:tc>
        <w:tc>
          <w:tcPr>
            <w:tcW w:w="170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1276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334/807</w:t>
            </w:r>
          </w:p>
        </w:tc>
        <w:tc>
          <w:tcPr>
            <w:tcW w:w="1559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61,5/149</w:t>
            </w:r>
          </w:p>
        </w:tc>
      </w:tr>
      <w:tr w:rsidR="002B3F65" w:rsidRPr="000877EA">
        <w:tc>
          <w:tcPr>
            <w:tcW w:w="817" w:type="dxa"/>
          </w:tcPr>
          <w:p w:rsidR="002B3F65" w:rsidRPr="000877EA" w:rsidRDefault="002B3F65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B3F65" w:rsidRPr="000877EA" w:rsidRDefault="00A277DB">
            <w:pPr>
              <w:tabs>
                <w:tab w:val="left" w:pos="652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50138,05</w:t>
            </w:r>
          </w:p>
        </w:tc>
        <w:tc>
          <w:tcPr>
            <w:tcW w:w="1276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45343/52370</w:t>
            </w:r>
          </w:p>
        </w:tc>
        <w:tc>
          <w:tcPr>
            <w:tcW w:w="1559" w:type="dxa"/>
          </w:tcPr>
          <w:p w:rsidR="002B3F65" w:rsidRPr="000877EA" w:rsidRDefault="00A277DB">
            <w:pPr>
              <w:tabs>
                <w:tab w:val="left" w:pos="652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90,4/104,5</w:t>
            </w:r>
          </w:p>
        </w:tc>
      </w:tr>
    </w:tbl>
    <w:p w:rsidR="00C86D33" w:rsidRPr="000877EA" w:rsidRDefault="00C86D33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видим, что показатель предоставленных услуг на конец второго квартала ниже, чем показатель 1 квартала. Это, опять-таки, объясняется сниженным показателем охваченных социальными услугами граждан, введенными ограничительными мероприятиями, проводимыми для предупреждения распространения коронавирусной инфекции, естественной убылью получателей социальных услуг, отказами в связи со сменой местожительства,  а также  по причине снятия с персонифицированного учета несовершеннолетних граждан с улучшенным показателем по жизнедеятельности семьи и (или) несовершеннолетних.</w:t>
      </w: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востребованности социальных услуг у населения в форме социального обслуживания  на дому (сравнительные данные за 1 и 2 квартал 2020года):</w:t>
      </w:r>
    </w:p>
    <w:p w:rsidR="002B3F65" w:rsidRPr="000877EA" w:rsidRDefault="002B3F65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09E405" wp14:editId="077D530F">
            <wp:extent cx="5486400" cy="1924050"/>
            <wp:effectExtent l="4445" t="4445" r="14605" b="14605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6D33" w:rsidRPr="000877EA" w:rsidRDefault="00C86D33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3F65" w:rsidRPr="000877EA" w:rsidRDefault="00A277DB">
      <w:pPr>
        <w:tabs>
          <w:tab w:val="left" w:pos="652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3.2.Социальное обслуживание  в стационарной форме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Плановый показатель государственного задания 1 квартала 2020 года по стационарной форме социального обслуживания  (7,5) не выполнен; исполнение составляет 42,7% (3,2),что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1 квартале 40,74%  (3,06). Причиной отклонения от государственного задания является закрытие социально-реабилитационного отделения  для проведения ремонтных работ по предписанию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02декабря 2019 года.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Социальные услуги в стационарной форме социального обслуживания предоставлялись в отделении временного пребывания граждан.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1 квартал отделением  выполнено 1151 (1 квартал - 1100) койко-дней; оказано 9885 (1 квартал - 9456) социальных услуг против плановых 7902 (выполнение составляет 125% (1 квартал - 120%); обслужено 18 человек (1 квартал -13 человек), в том числе инвалидов – 8 (1 квартал - 5) чел., лиц без определенного места жительства – 10 (1 квартал - 8)чел. Оформлено в частный приют 2 человека;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инвалидности - 2 чел.; ожидают путевки в дом-интернат - 5 человек.</w:t>
      </w:r>
    </w:p>
    <w:p w:rsidR="002B3F65" w:rsidRPr="000877EA" w:rsidRDefault="00A277DB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связи с тем, что отделение временного пребывания граждан расположено в жилом здании, где отсутствуют условия для  изоляции на обслуживание клиентов персоналом  отделения вахтовым методом на 14 дней, Министерством социальной политики принято решение о размещения клиентов отделения временного пребывания в комплексные центры на территории города Асбеста и Каменск-Уральского. По состоянию на 01.07.2020 года клиенты в стационарном отделении отсутствуют.</w:t>
      </w:r>
    </w:p>
    <w:p w:rsidR="002B3F65" w:rsidRPr="000877EA" w:rsidRDefault="00A277DB">
      <w:pPr>
        <w:tabs>
          <w:tab w:val="left" w:pos="652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Полустационарная форма обслуживания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Социальные услуги в полустационарной форме социального обслуживания  оказывают отделение срочного социального обслуживания, отделение профилактики безнадзорности несовершеннолетних, отделение сопровождения замещающих семей, отделение психолого-педагогической помощи, отделение участковой социальной службы.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2 квартал 2020 года плановый показатель обслуживаемых в полустационарной форме составляет 1223 человек; выполнение - 2637(215%)  (1 квартал 2020 года - 1183) человек, что превышает плановый показатель на 115% (1 квартал - составляет 102,9%).</w:t>
      </w:r>
      <w:r w:rsidR="00986442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уникальных клиентов этот показатель составляет 1785 человек.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оказано </w:t>
      </w:r>
      <w:r w:rsidR="00353DFC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913 услуг в рамках индивидуальных программ предоставления социальных услуг в полустационарной форме социального обслуживания и 3871 услуга по актам предоставления срочных социальных услуг.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F65" w:rsidRPr="000877EA" w:rsidRDefault="00D75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социальных услуг</w:t>
      </w:r>
      <w:r w:rsidR="00202F3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(показатели 1 и 2 кварталов в сравнении)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F65" w:rsidRPr="000877EA" w:rsidRDefault="00D75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E8259C" wp14:editId="7DF7D697">
            <wp:extent cx="6511992" cy="2908570"/>
            <wp:effectExtent l="19050" t="0" r="22158" b="6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3F65" w:rsidRPr="000877EA" w:rsidRDefault="002B3F65" w:rsidP="00202F38">
      <w:pPr>
        <w:tabs>
          <w:tab w:val="left" w:pos="65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 срочного социального о</w:t>
      </w:r>
      <w:r w:rsidR="00B56AC1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бслуживания (ОССО) обслужено 1171</w:t>
      </w:r>
      <w:r w:rsidR="009056BC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квартал – 424)</w:t>
      </w:r>
      <w:r w:rsidR="00B56AC1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="009056BC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176,2% выше 1 квартала. Всего оказано отделением срочного социального обслуживания </w:t>
      </w:r>
      <w:r w:rsidR="00B56AC1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2135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056BC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квартал – 1668 услуг) – на 467 услуг </w:t>
      </w:r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первого квартала. </w:t>
      </w:r>
      <w:proofErr w:type="gramStart"/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объясняется ростом показателя обратившихся за услугами в период введенных ограничительных мероприятий по предупреждению коронавирусной инфекции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по правам граждан в дистанционном режиме (по телефону горячей линии), доставка льготных лекарств гражданам 65 лет и</w:t>
      </w:r>
      <w:r w:rsidR="00202F3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старше, а также семьям, воспитывающи</w:t>
      </w:r>
      <w:r w:rsidR="00202F3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гражданам возрастной группы от 18 и </w:t>
      </w:r>
      <w:r w:rsidR="00202F3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202F3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«инвалид», находящимся на самоизоляции;</w:t>
      </w:r>
      <w:proofErr w:type="gramEnd"/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в доставке на дом продуктов питания и лекарств за счет личных сре</w:t>
      </w:r>
      <w:proofErr w:type="gramStart"/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кл</w:t>
      </w:r>
      <w:proofErr w:type="gramEnd"/>
      <w:r w:rsidR="00810960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иентов и др.</w:t>
      </w:r>
    </w:p>
    <w:p w:rsidR="002B3F65" w:rsidRPr="000877EA" w:rsidRDefault="00810960" w:rsidP="00810960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квартала</w:t>
      </w:r>
      <w:r w:rsidR="00E1771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были опрошены и первично продиагностированы дл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оценки их реального положения.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1771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1171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обратившийся 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проконсультированы по вопросам, связанным с правом граждан на социальное обслуживание в государственных и негосударственных системах социальных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и защиту своих интересов.</w:t>
      </w:r>
      <w:r w:rsidR="00E1771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E1771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помощь в подготовке документов, направляемых в различные инстанции по конкретным проблем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получателей социальных услуг. </w:t>
      </w:r>
      <w:r w:rsidR="00704EA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обеспеч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одеждой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обувью, бывшей в употреблении. 220 граждан</w:t>
      </w:r>
      <w:r w:rsidR="00704EA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04EA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редметами первой необходимости (</w:t>
      </w:r>
      <w:r w:rsidR="00704EA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льготных лекарств)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6693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proofErr w:type="gramEnd"/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обеспечены техническими средствами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ухода, реабилитации и адаптации. </w:t>
      </w:r>
      <w:r w:rsidR="00704EA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экстренную психологическую помощь.</w:t>
      </w:r>
    </w:p>
    <w:p w:rsidR="002B3F65" w:rsidRPr="000877EA" w:rsidRDefault="005A6693">
      <w:pPr>
        <w:tabs>
          <w:tab w:val="left" w:pos="65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7DB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имеющих ИПРА инвалида, во время социальных патронажей получили консультации специалистов, им  разъяснялись полагающиеся виды и нормы социальной помощи, порядок их получения, определялись возможные пути решения проблем. </w:t>
      </w:r>
    </w:p>
    <w:p w:rsidR="002B3F65" w:rsidRPr="000877EA" w:rsidRDefault="00A27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отчетный период в социальный пункт проката обрат</w:t>
      </w:r>
      <w:r w:rsidR="005A6693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3D62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123</w:t>
      </w:r>
      <w:r w:rsidR="005A6693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(1 квартал 2020 года -111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которыми заключены договора. Информирование граждан о работе и оснащении социального пункта проката происходит через средства массовой информации (СМИ) - 2 раза в месяц.</w:t>
      </w:r>
    </w:p>
    <w:p w:rsidR="002B3F65" w:rsidRPr="000877EA" w:rsidRDefault="00A27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128 человек ежемесячно в течение 2 квартала получали социальные услуги в полустационарной форме в соответствии с мероприятиями, обозначенными в индивидуальной программе предоставления социальных услуг (ОПБН, ОСЗС, ОППП).</w:t>
      </w:r>
    </w:p>
    <w:p w:rsidR="002B3F65" w:rsidRDefault="00A27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несовершеннолетних, получивших услуги в полустационарной форме социального обслуживания в рамках ИППСУ в  отделениях ОСЗС, ОППП, ОПБН, по половому признаку в сравнении с 1 и 2 кварталами 2020 года:</w:t>
      </w:r>
    </w:p>
    <w:p w:rsidR="000877EA" w:rsidRPr="000877EA" w:rsidRDefault="000877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16"/>
        <w:gridCol w:w="390"/>
        <w:gridCol w:w="5016"/>
      </w:tblGrid>
      <w:tr w:rsidR="002B3F65" w:rsidRPr="000877EA"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2B3F65" w:rsidRPr="000877EA" w:rsidRDefault="00A27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B3F65" w:rsidRPr="000877EA" w:rsidRDefault="002B3F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2B3F65" w:rsidRPr="000877EA" w:rsidRDefault="00A27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0877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</w:tr>
      <w:tr w:rsidR="002B3F65" w:rsidRPr="000877EA"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2B3F65" w:rsidRPr="000877EA" w:rsidRDefault="00A27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F067E7" wp14:editId="4CCEC4EF">
                  <wp:extent cx="3037840" cy="1343025"/>
                  <wp:effectExtent l="4445" t="4445" r="5715" b="508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B3F65" w:rsidRPr="000877EA" w:rsidRDefault="002B3F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2B3F65" w:rsidRPr="000877EA" w:rsidRDefault="00A27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65F19F" wp14:editId="68F330B5">
                  <wp:extent cx="3037840" cy="1343025"/>
                  <wp:effectExtent l="4445" t="4445" r="5715" b="50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0877EA" w:rsidRDefault="000877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F65" w:rsidRPr="000877EA" w:rsidRDefault="00A277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учреждением целевых программ и технологий</w:t>
      </w:r>
    </w:p>
    <w:p w:rsidR="002B3F65" w:rsidRPr="000877EA" w:rsidRDefault="00A277DB">
      <w:pPr>
        <w:spacing w:after="0"/>
        <w:ind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действенных механизмов в работе с семьей, в которой наблюдается социальное неблагополучие, является использование различных технологий социальной работы. На сегодняшний день специалистами учреждения разработано и реализуется следующие технологии и программы по работе с различными категориями семей.</w:t>
      </w:r>
    </w:p>
    <w:p w:rsidR="002B3F65" w:rsidRPr="000877EA" w:rsidRDefault="00A277DB">
      <w:pPr>
        <w:spacing w:after="0"/>
        <w:ind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30.06.2020 года отделениями реализуются следующие программы:</w:t>
      </w:r>
    </w:p>
    <w:p w:rsidR="00C50B8C" w:rsidRDefault="00C50B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ОСЗС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«Профилактика социального сиротства и отказов от новорожденных»;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«Программа профилактики жестокого обращения с детьми и социальной реабилитации детей, пострадавших от насилия и преступных посягательств, и их семей в Белоярском районе»;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«Профилактика суицидального поведения подростков «Я выбираю жизнь»;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«Основы безопасности жизнедеятельности»;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«Здоровый образ жизни»;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«Доброе сердце»;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«Надёжный причал</w:t>
      </w: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50B8C" w:rsidRDefault="00C50B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ОППП:</w:t>
      </w:r>
    </w:p>
    <w:p w:rsidR="002B3F65" w:rsidRPr="000877EA" w:rsidRDefault="00A277D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Программа коррекционно-развивающих и психопрофилактических занятий у детей и подростков с ОВЗ в условиях сенсорной комнаты;</w:t>
      </w:r>
    </w:p>
    <w:p w:rsidR="002B3F65" w:rsidRPr="000877EA" w:rsidRDefault="00A277D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Коррекционно-развивающая программа, направленная на снижение уровня проявления агрессии и агрессивности у детей дошкольного, школьного и подросткового возрастов «Я учусь владеть собой» с помощью средств арт-терапии;</w:t>
      </w:r>
    </w:p>
    <w:p w:rsidR="002B3F65" w:rsidRPr="000877EA" w:rsidRDefault="00A277D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Коррекционная программа для детей и подростков «Победи свой страх»;</w:t>
      </w:r>
    </w:p>
    <w:p w:rsidR="002B3F65" w:rsidRPr="000877EA" w:rsidRDefault="00A277D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«Песочное рисование с использованием метода «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Sand-Art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дошкольников с 7 до 15 лет;</w:t>
      </w:r>
    </w:p>
    <w:p w:rsidR="002B3F65" w:rsidRPr="000877EA" w:rsidRDefault="00A277D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коррекционно-развивающих занятий для развития познавательных процессов у дошкольников;</w:t>
      </w:r>
    </w:p>
    <w:p w:rsidR="002B3F65" w:rsidRPr="000877EA" w:rsidRDefault="00A277D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«Приключения с волшебным песком» на развитие творческого мышления посредством использования метода «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SandArt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детьми дошкольного возраста.</w:t>
      </w:r>
    </w:p>
    <w:p w:rsidR="002B3F65" w:rsidRPr="000877EA" w:rsidRDefault="00A277D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«Программа профилактики жестокого обращения с детьми и социальной реабилитации детей, пострадавших от насилия и преступных посягательств, и их семей в Белоярском районе»;</w:t>
      </w:r>
    </w:p>
    <w:p w:rsidR="002B3F65" w:rsidRPr="000877EA" w:rsidRDefault="00A277D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«Основы безопасности жизнедеятельности»;</w:t>
      </w:r>
    </w:p>
    <w:p w:rsidR="002B3F65" w:rsidRPr="000877EA" w:rsidRDefault="00A277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«Здоровый образ жизни»;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«Школа взаимной человечности».</w:t>
      </w:r>
    </w:p>
    <w:p w:rsidR="00C50B8C" w:rsidRDefault="00C50B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ОПБН:</w:t>
      </w:r>
    </w:p>
    <w:p w:rsidR="002B3F65" w:rsidRPr="000877EA" w:rsidRDefault="00A277DB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«Профилактика социального сиротства и отказов от новорожденных»;</w:t>
      </w:r>
    </w:p>
    <w:p w:rsidR="002B3F65" w:rsidRPr="000877EA" w:rsidRDefault="00A277DB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«Проводник»;</w:t>
      </w:r>
    </w:p>
    <w:p w:rsidR="002B3F65" w:rsidRPr="000877EA" w:rsidRDefault="00A277DB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«Профилактика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поведения»;</w:t>
      </w:r>
    </w:p>
    <w:p w:rsidR="002B3F65" w:rsidRPr="000877EA" w:rsidRDefault="00A277DB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«Профилактика суицидального поведения подростков «Я выбираю жизнь»;</w:t>
      </w:r>
    </w:p>
    <w:p w:rsidR="002B3F65" w:rsidRPr="000877EA" w:rsidRDefault="00A277DB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«Программа профилактики жестокого обращения с детьми и социальной реабилитации детей, пострадавших от насилия и преступных посягательств, и их семей в Белоярском районе»</w:t>
      </w:r>
    </w:p>
    <w:p w:rsidR="002B3F65" w:rsidRPr="000877EA" w:rsidRDefault="00A277DB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«Основы безопасности жизнедеятельности»;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«Здоровый образ жизни»;</w:t>
      </w:r>
    </w:p>
    <w:p w:rsidR="002B3F65" w:rsidRPr="000877EA" w:rsidRDefault="00A277DB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«Профилактика ранней беременности и сопровождение несовершеннолетних беременных и молодых мам».</w:t>
      </w:r>
    </w:p>
    <w:p w:rsidR="002B3F65" w:rsidRPr="000877EA" w:rsidRDefault="00A277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«Проводник».</w:t>
      </w:r>
    </w:p>
    <w:p w:rsidR="002B3F65" w:rsidRDefault="00A277DB" w:rsidP="00202F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«рабочей» технологией социального сопровождения семей, воспитывающих несовершеннолетних, имеющих трудности социальной адаптации, по-прежнему являются элементы</w:t>
      </w:r>
      <w:r w:rsidR="00202F38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«Участковой службы».</w:t>
      </w:r>
    </w:p>
    <w:p w:rsidR="00C50B8C" w:rsidRDefault="00C50B8C" w:rsidP="00202F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C" w:rsidRDefault="00C50B8C" w:rsidP="00202F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C" w:rsidRDefault="00C50B8C" w:rsidP="00202F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C" w:rsidRDefault="00C50B8C" w:rsidP="00202F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C" w:rsidRDefault="00C50B8C" w:rsidP="00202F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C" w:rsidRPr="000877EA" w:rsidRDefault="00C50B8C" w:rsidP="00202F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2B3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850"/>
        <w:gridCol w:w="709"/>
        <w:gridCol w:w="851"/>
        <w:gridCol w:w="850"/>
        <w:gridCol w:w="992"/>
        <w:gridCol w:w="993"/>
        <w:gridCol w:w="992"/>
        <w:gridCol w:w="958"/>
      </w:tblGrid>
      <w:tr w:rsidR="002B3F65" w:rsidRPr="000877EA" w:rsidTr="00202F38">
        <w:trPr>
          <w:trHeight w:val="209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обслуживания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профилактики безнадзорности несовершеннолетних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психолого-педагогической помощи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сопровождения замещающих семей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Участковая социальная служба</w:t>
            </w:r>
          </w:p>
        </w:tc>
      </w:tr>
      <w:tr w:rsidR="002B3F65" w:rsidRPr="000877EA" w:rsidTr="00202F38">
        <w:trPr>
          <w:trHeight w:val="1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r w:rsidR="00202F38"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</w:t>
            </w: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</w:p>
        </w:tc>
      </w:tr>
      <w:tr w:rsidR="002B3F65" w:rsidRPr="000877EA" w:rsidTr="00202F3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– (1 консультация – 1 единица)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536</w:t>
            </w:r>
          </w:p>
        </w:tc>
      </w:tr>
      <w:tr w:rsidR="002B3F65" w:rsidRPr="000877EA" w:rsidTr="00202F3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Патронажные выходы (выход в 1 адрес – 1единица)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1F5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1F5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810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</w:tr>
      <w:tr w:rsidR="002B3F65" w:rsidRPr="000877EA" w:rsidTr="00202F3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 и просветительные мероприятия (1 мероприятие – 1 единица)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</w:tr>
      <w:tr w:rsidR="002B3F65" w:rsidRPr="000877EA" w:rsidTr="00202F3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пожилого возраста, школы приемных родителей (1 занятие для одного слушателя-1 единица)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187 (17 </w:t>
            </w:r>
            <w:proofErr w:type="spellStart"/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занятий</w:t>
            </w:r>
            <w:proofErr w:type="spellEnd"/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2B3F65" w:rsidRPr="000877EA" w:rsidTr="00202F3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Клубная деятельность (1 заседание клуба – 1 единица)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3F65" w:rsidRPr="000877EA" w:rsidRDefault="002B3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3F65" w:rsidRPr="000877EA" w:rsidRDefault="00A277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877E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65</w:t>
            </w:r>
          </w:p>
        </w:tc>
      </w:tr>
    </w:tbl>
    <w:p w:rsidR="002B3F65" w:rsidRPr="000877EA" w:rsidRDefault="002B3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  фактический показатель проведенных занятий  в Школе пожилого возраста по отношению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плановому на 137 единиц по причине введенных ограничительных мероприятий в целях предупреждения распространения вируса </w:t>
      </w:r>
      <w:r w:rsidRPr="00087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COVIT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-19. 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целевую направленность Школы пожилого возраста, потребность пожилых граждан в общении, руководители ШПВ и клубных объединений создали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Интернет-сети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 обмену информацией, обсуждению заявленных ими тем, а также оказанию друг другу поддержки в режиме самоизоляции. Таким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65 занятий в режиме онлайн. Участники клубных объединений всегда откликаются для участия в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редлагаемых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линии Министерства социальной политики.</w:t>
      </w:r>
    </w:p>
    <w:p w:rsidR="00C50B8C" w:rsidRDefault="00C50B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F65" w:rsidRPr="000877EA" w:rsidRDefault="00A277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Организация деятельности учреждения по сопровождению семей </w:t>
      </w:r>
    </w:p>
    <w:p w:rsidR="002B3F65" w:rsidRPr="000877EA" w:rsidRDefault="00A277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«группы риска», </w:t>
      </w:r>
      <w:proofErr w:type="gramStart"/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</w:t>
      </w:r>
      <w:proofErr w:type="gramEnd"/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особом контроле.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«КЦСОН «Забота» Белоярского района ведѐт работу по формированию банка данных семей, требующих особого контроля со стороны социальной службы, а именно банка данных семей, находящихся в социально опасном положении, и банка данных семей, находящихся на ранней стадии социального неблагополучия. Ежемесячно (по состоянию на 1 число месяца) учреждение осуществляет сверку банков данных с координатором по их формированию - Комиссией по делам несовершеннолетних и защите их прав Белоярского района.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30.06.2020 г. на контроле структурных подразделений учреждения находится  44 семья, находящаяся в социально опасном положении, в них воспитывается 92 несовершеннолетних детей по Белоярскому городскому округу, городскому округу Верхнее Дуброво, а также по городскому округу Заречный–  39 семей, находящихся в социально опасном положении, в них   48 несовершеннолетних.</w:t>
      </w:r>
      <w:proofErr w:type="gramEnd"/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постановки семей по категории «семья, находящиеся в социально опасном положении» в 1 квартале 2020 году: </w:t>
      </w:r>
    </w:p>
    <w:p w:rsidR="002B3F65" w:rsidRPr="000877EA" w:rsidRDefault="00A27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-злоупотребление спиртными напитками - 38;</w:t>
      </w:r>
    </w:p>
    <w:p w:rsidR="002B3F65" w:rsidRPr="000877EA" w:rsidRDefault="00A277DB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исполнение родительских обязанностей – 63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B3F65" w:rsidRPr="000877EA" w:rsidRDefault="00A277DB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жестокого обращения с несовершеннолетним – 0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B3F65" w:rsidRPr="000877EA" w:rsidRDefault="00A277DB">
      <w:pPr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несовершеннолетних –  23;</w:t>
      </w:r>
    </w:p>
    <w:p w:rsidR="002B3F65" w:rsidRPr="000877EA" w:rsidRDefault="00A277DB">
      <w:pPr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материальный уровень-  39;</w:t>
      </w:r>
    </w:p>
    <w:p w:rsidR="002B3F65" w:rsidRPr="000877EA" w:rsidRDefault="00A277DB">
      <w:pPr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матери из мест лишения свободы –  0;</w:t>
      </w:r>
    </w:p>
    <w:p w:rsidR="002B3F65" w:rsidRPr="000877EA" w:rsidRDefault="00A277DB">
      <w:pPr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работы у родителей – 23;</w:t>
      </w:r>
    </w:p>
    <w:p w:rsidR="002B3F65" w:rsidRPr="000877EA" w:rsidRDefault="00A277DB">
      <w:pPr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ограничены в родительских правах- 1;</w:t>
      </w:r>
    </w:p>
    <w:p w:rsidR="002B3F65" w:rsidRPr="000877EA" w:rsidRDefault="00A277DB">
      <w:pPr>
        <w:tabs>
          <w:tab w:val="left" w:pos="16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контроль семьи, находящейся в социально опасном положении, ставятся на основании постановлений ТКДН и ЗП Белоярского района и города Заречного.</w:t>
      </w:r>
    </w:p>
    <w:p w:rsidR="002B3F65" w:rsidRPr="000877EA" w:rsidRDefault="00A277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семей СОП, поставленных в 1 квартале 2020 года:</w:t>
      </w:r>
    </w:p>
    <w:p w:rsidR="002B3F65" w:rsidRPr="000877EA" w:rsidRDefault="00A277DB">
      <w:pPr>
        <w:numPr>
          <w:ilvl w:val="0"/>
          <w:numId w:val="3"/>
        </w:numPr>
        <w:tabs>
          <w:tab w:val="left" w:pos="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семьи поставлено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воспитываются 49 несовершеннолетних;</w:t>
      </w:r>
    </w:p>
    <w:p w:rsidR="002B3F65" w:rsidRPr="000877EA" w:rsidRDefault="00A277DB">
      <w:pPr>
        <w:numPr>
          <w:ilvl w:val="0"/>
          <w:numId w:val="3"/>
        </w:numPr>
        <w:tabs>
          <w:tab w:val="left" w:pos="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семьи на сопровождение не ставились.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данную статистику нельзя сказать об ухудшении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Напротив, внимание со стороны субъектов профилактики, в том числе и со стороны специалистов учреждения, к семьям с признаками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повышено, о </w:t>
      </w:r>
      <w:proofErr w:type="spellStart"/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ѐм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высокий показатель поставленных на учѐт семей, а значит и вновь выявленных.</w:t>
      </w:r>
    </w:p>
    <w:p w:rsidR="002B3F65" w:rsidRPr="000877EA" w:rsidRDefault="002B3F6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F65" w:rsidRPr="000877EA" w:rsidRDefault="00A277D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5.Анализ семей, снятых с контроля в категории </w:t>
      </w:r>
    </w:p>
    <w:p w:rsidR="002B3F65" w:rsidRPr="000877EA" w:rsidRDefault="00A277D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 с положительной динамикой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коллектива учреждения является снижение в результате профилактических мероприятий численности неблагополучных семей.</w:t>
      </w:r>
    </w:p>
    <w:p w:rsidR="002B3F65" w:rsidRPr="000877EA" w:rsidRDefault="00A277DB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квартал 2020 года на основании Постановлений ТКДН и ЗП Белоярского района снято с контроля в связи с улучшением 4 семьи, в которых воспитывается 9 несовершеннолетних с  улучшением ситуации.  На основании Постановлений ТКДН и ЗП по городу Заречному - 4 семьи с улучшений ситуации, в которых воспитывается  5 несовершеннолетних.</w:t>
      </w:r>
    </w:p>
    <w:p w:rsidR="002B3F65" w:rsidRPr="000877EA" w:rsidRDefault="00A277DB">
      <w:pPr>
        <w:tabs>
          <w:tab w:val="left" w:pos="4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целью дальнейшего снижения числа семей, родители в которых лишаются (ограничиваются) родительских прав, в учреждении разработан алгоритм работы с такими семьями, в соответствии с которым проводится комплекс мероприятий. При получении информации ТКДН о целесообразности лишения (ограничения) родительских прав семья официально уведомляется о данном решении и приглашается на заседание социального консилиума при УСП, в котором принимают участие специалисты центра. На социальном консилиуме совместно с родителями оцениваются ресурсы семьи, намечается план обязательств со стороны семьи с указанием конкретных сроков, проводится профилактическая работа.</w:t>
      </w:r>
    </w:p>
    <w:p w:rsidR="002B3F65" w:rsidRPr="000877EA" w:rsidRDefault="00A277DB">
      <w:pPr>
        <w:tabs>
          <w:tab w:val="left" w:pos="102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семьями, родители в которых ограничены в родительских правах, продолжается реабилитационная работа, главным показателем которой является восстановление в родительских правах. Таким родителям специалисты разъясняют об их праве восстановиться, пытаются убедить их изменить свой образ жизни, чтобы вернуть ребѐнка в семью, разрабатывается план реабилитации семьи. В 2 квартале 2020 года не фиксируется показатель восстановленных родителей в своих правах.</w:t>
      </w:r>
    </w:p>
    <w:p w:rsidR="002B3F65" w:rsidRPr="000877EA" w:rsidRDefault="00A277DB" w:rsidP="002B3F65">
      <w:pPr>
        <w:spacing w:after="0"/>
        <w:ind w:firstLineChars="251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важным направлением по предотвращению семейного неблагополучия является коррекция проблем в семье на ранней стадии. Специалистами учреждения проводится работа по выявлению таких семей, осуществляется работа по формированию банков данных семей этой категории. По состоянию на 31.03.2020 года на контроле в структурных подразделениях учреждения состоит 4 семьи, находящиеся на ранней стадии социального неблагополучия. Выявление семей осуществляется в тесном взаимодействии с представителями всех субъектов профилактики безнадзорности и правонарушений несовершеннолетних. </w:t>
      </w:r>
    </w:p>
    <w:p w:rsidR="002B3F65" w:rsidRPr="000877EA" w:rsidRDefault="00A277DB" w:rsidP="002B3F65">
      <w:pPr>
        <w:numPr>
          <w:ilvl w:val="0"/>
          <w:numId w:val="4"/>
        </w:numPr>
        <w:tabs>
          <w:tab w:val="left" w:pos="1056"/>
        </w:tabs>
        <w:spacing w:after="0" w:line="240" w:lineRule="auto"/>
        <w:ind w:firstLineChars="251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2 квартал 2020 года с учета учреждения снято 8 семей с положительной динамикой.</w:t>
      </w:r>
    </w:p>
    <w:p w:rsidR="002B3F65" w:rsidRPr="000877EA" w:rsidRDefault="00A277DB" w:rsidP="002B3F65">
      <w:pPr>
        <w:spacing w:after="0"/>
        <w:ind w:firstLineChars="192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Ещѐ одной из первостепенных категорий семей, которой учреждением уделяется особое внимание, являются семьи, в которых воспитываются несовершеннолетние с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 По состоянию на 30.06.2020 года на учете специалистов центра находится  23 подростка с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поведением, из них: мальчиков – 20, девочек – 3. Из общего числа детей с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поведением:</w:t>
      </w:r>
    </w:p>
    <w:p w:rsidR="002B3F65" w:rsidRPr="000877EA" w:rsidRDefault="00A277DB" w:rsidP="002B3F65">
      <w:pPr>
        <w:spacing w:after="0"/>
        <w:ind w:firstLineChars="192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совершившие самовольный уход из семьи - 2чел.;</w:t>
      </w:r>
      <w:proofErr w:type="gramEnd"/>
    </w:p>
    <w:p w:rsidR="002B3F65" w:rsidRPr="000877EA" w:rsidRDefault="00A277DB" w:rsidP="002B3F65">
      <w:pPr>
        <w:spacing w:after="0"/>
        <w:ind w:firstLineChars="192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употребившие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спиртосодержащую продукцию –  9 чел.,</w:t>
      </w:r>
    </w:p>
    <w:p w:rsidR="002B3F65" w:rsidRPr="000877EA" w:rsidRDefault="00A277DB" w:rsidP="002B3F65">
      <w:pPr>
        <w:spacing w:after="0"/>
        <w:ind w:firstLineChars="192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совершившие противоправные деяния –  11 чел.;</w:t>
      </w:r>
    </w:p>
    <w:p w:rsidR="002B3F65" w:rsidRPr="000877EA" w:rsidRDefault="00A277DB" w:rsidP="002B3F65">
      <w:pPr>
        <w:spacing w:after="0"/>
        <w:ind w:firstLineChars="192" w:firstLine="53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употребившие психотропные вещества –  1 чел.</w:t>
      </w:r>
    </w:p>
    <w:p w:rsidR="000877EA" w:rsidRPr="000877EA" w:rsidRDefault="000877EA" w:rsidP="002B3F65">
      <w:pPr>
        <w:spacing w:after="0"/>
        <w:ind w:firstLineChars="19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65" w:rsidRPr="000877EA" w:rsidRDefault="00A277DB" w:rsidP="002B3F65">
      <w:pPr>
        <w:spacing w:after="0"/>
        <w:ind w:firstLineChars="19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Межведомственное взаимодействие</w:t>
      </w:r>
    </w:p>
    <w:p w:rsidR="002B3F65" w:rsidRPr="000877EA" w:rsidRDefault="00A277DB">
      <w:pPr>
        <w:numPr>
          <w:ilvl w:val="3"/>
          <w:numId w:val="5"/>
        </w:numPr>
        <w:tabs>
          <w:tab w:val="left" w:pos="1000"/>
        </w:tabs>
        <w:spacing w:after="0" w:line="240" w:lineRule="auto"/>
        <w:ind w:firstLine="2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профилактическая деятельность с указанными категориями населения осуществляется в рамках проведения социально-психологического патронажа, социально-педагогического патронажа с проведением профилактических бесед, консультаций. </w:t>
      </w:r>
    </w:p>
    <w:p w:rsidR="002B3F65" w:rsidRPr="000877EA" w:rsidRDefault="00A277DB" w:rsidP="002B3F65">
      <w:pPr>
        <w:spacing w:after="0"/>
        <w:ind w:firstLineChars="76" w:firstLine="2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усиления контроля и более эффективного проведения профилактической деятельности, в семьи осуществляются совместные патронажные выходы и межведомственные рейды. В течение 2 квартала 2020 года в семьи, находящиеся на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межведомственном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учѐте, отделением профилактики безнадзорности несовершеннолетних,  осуществлено  17  совместных патронажных выхода с представителями различных субъектов профилактики, из них:</w:t>
      </w:r>
    </w:p>
    <w:p w:rsidR="002B3F65" w:rsidRPr="000877EA" w:rsidRDefault="00A277DB" w:rsidP="002B3F65">
      <w:pPr>
        <w:numPr>
          <w:ilvl w:val="0"/>
          <w:numId w:val="5"/>
        </w:numPr>
        <w:tabs>
          <w:tab w:val="left" w:pos="260"/>
        </w:tabs>
        <w:spacing w:after="0" w:line="240" w:lineRule="auto"/>
        <w:ind w:firstLineChars="76" w:firstLine="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здравоохранения – 0;</w:t>
      </w:r>
    </w:p>
    <w:p w:rsidR="002B3F65" w:rsidRPr="000877EA" w:rsidRDefault="00A277DB" w:rsidP="002B3F65">
      <w:pPr>
        <w:numPr>
          <w:ilvl w:val="0"/>
          <w:numId w:val="5"/>
        </w:numPr>
        <w:tabs>
          <w:tab w:val="left" w:pos="240"/>
        </w:tabs>
        <w:spacing w:after="0" w:line="240" w:lineRule="auto"/>
        <w:ind w:firstLineChars="76" w:firstLine="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 -  0;</w:t>
      </w:r>
    </w:p>
    <w:p w:rsidR="002B3F65" w:rsidRPr="000877EA" w:rsidRDefault="00A277DB" w:rsidP="002B3F65">
      <w:pPr>
        <w:numPr>
          <w:ilvl w:val="0"/>
          <w:numId w:val="5"/>
        </w:numPr>
        <w:tabs>
          <w:tab w:val="left" w:pos="240"/>
        </w:tabs>
        <w:spacing w:after="0" w:line="240" w:lineRule="auto"/>
        <w:ind w:firstLineChars="76" w:firstLine="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подразделением по делам несовершеннолетних ОВД –  3;</w:t>
      </w:r>
    </w:p>
    <w:p w:rsidR="002B3F65" w:rsidRPr="000877EA" w:rsidRDefault="00A277DB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детские дошкольные учреждения – 0;</w:t>
      </w:r>
    </w:p>
    <w:p w:rsidR="002B3F65" w:rsidRPr="000877EA" w:rsidRDefault="00A277DB" w:rsidP="002B3F65">
      <w:pPr>
        <w:numPr>
          <w:ilvl w:val="0"/>
          <w:numId w:val="5"/>
        </w:numPr>
        <w:tabs>
          <w:tab w:val="left" w:pos="240"/>
        </w:tabs>
        <w:spacing w:after="0" w:line="240" w:lineRule="auto"/>
        <w:ind w:firstLineChars="76" w:firstLine="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политики –  3;</w:t>
      </w:r>
    </w:p>
    <w:p w:rsidR="002B3F65" w:rsidRPr="000877EA" w:rsidRDefault="00A277DB" w:rsidP="002B3F65">
      <w:pPr>
        <w:numPr>
          <w:ilvl w:val="0"/>
          <w:numId w:val="5"/>
        </w:numPr>
        <w:tabs>
          <w:tab w:val="left" w:pos="260"/>
        </w:tabs>
        <w:spacing w:after="0" w:line="240" w:lineRule="auto"/>
        <w:ind w:firstLineChars="76" w:firstLine="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участковые уполномоченные –  2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B3F65" w:rsidRPr="000877EA" w:rsidRDefault="00A277DB" w:rsidP="002B3F65">
      <w:pPr>
        <w:numPr>
          <w:ilvl w:val="0"/>
          <w:numId w:val="5"/>
        </w:numPr>
        <w:tabs>
          <w:tab w:val="left" w:pos="260"/>
        </w:tabs>
        <w:spacing w:after="0" w:line="240" w:lineRule="auto"/>
        <w:ind w:firstLineChars="76" w:firstLine="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- 9.</w:t>
      </w:r>
    </w:p>
    <w:p w:rsidR="002B3F65" w:rsidRPr="000877EA" w:rsidRDefault="00A277DB">
      <w:pPr>
        <w:tabs>
          <w:tab w:val="left" w:pos="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  запросов  выполнили по  участию психологов и социальных педагогов  в следственных действиях, проводимых Следственным комитетом города Заречного, в заседаниях Белоярского районного суда в интересах несовершеннолетних.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отчетный период специалисты учреждения приняли участие в  17 межведомственных рейдах, в ходе которых было посещено  83 семей.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Помимо взаимодействия с субъектами профилактики, в ходе совместных выходов и рейдовых мероприятий, активноведѐтся обмен информацией о семьях, находящихся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учѐтах. Информация по семьям поступает в учреждение, как в качестве ответов на запросы специалистов учреждения в отношении конкретных семей, так и в виде запросов и сообщений о ситуациях в семьях.</w:t>
      </w:r>
    </w:p>
    <w:p w:rsidR="002B3F65" w:rsidRPr="000877EA" w:rsidRDefault="00A277DB">
      <w:pPr>
        <w:tabs>
          <w:tab w:val="left" w:pos="1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2020 года по линии межведомственного взаимодействия учреждением было получено </w:t>
      </w: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32таких сообщения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из следующих организаций:</w:t>
      </w:r>
    </w:p>
    <w:p w:rsidR="002B3F65" w:rsidRPr="000877EA" w:rsidRDefault="00A277DB" w:rsidP="002B3F65">
      <w:pPr>
        <w:numPr>
          <w:ilvl w:val="0"/>
          <w:numId w:val="6"/>
        </w:numPr>
        <w:tabs>
          <w:tab w:val="left" w:pos="700"/>
        </w:tabs>
        <w:spacing w:after="0" w:line="240" w:lineRule="auto"/>
        <w:ind w:firstLineChars="222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делам несовершеннолетних и защите их прав Белоярского района -</w:t>
      </w: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F65" w:rsidRPr="000877EA" w:rsidRDefault="00A277DB" w:rsidP="002B3F65">
      <w:pPr>
        <w:numPr>
          <w:ilvl w:val="0"/>
          <w:numId w:val="6"/>
        </w:numPr>
        <w:tabs>
          <w:tab w:val="left" w:pos="700"/>
        </w:tabs>
        <w:spacing w:after="0" w:line="240" w:lineRule="auto"/>
        <w:ind w:firstLineChars="222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делам несовершеннолетних и защите их прав по городу Заречному –  1;</w:t>
      </w:r>
    </w:p>
    <w:p w:rsidR="002B3F65" w:rsidRPr="000877EA" w:rsidRDefault="00A277DB" w:rsidP="002B3F65">
      <w:pPr>
        <w:numPr>
          <w:ilvl w:val="0"/>
          <w:numId w:val="6"/>
        </w:numPr>
        <w:tabs>
          <w:tab w:val="left" w:pos="700"/>
        </w:tabs>
        <w:spacing w:after="0" w:line="240" w:lineRule="auto"/>
        <w:ind w:firstLineChars="222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здравоохранения - 0;</w:t>
      </w:r>
    </w:p>
    <w:p w:rsidR="002B3F65" w:rsidRPr="000877EA" w:rsidRDefault="00A277DB" w:rsidP="002B3F65">
      <w:pPr>
        <w:numPr>
          <w:ilvl w:val="0"/>
          <w:numId w:val="6"/>
        </w:numPr>
        <w:tabs>
          <w:tab w:val="left" w:pos="700"/>
        </w:tabs>
        <w:spacing w:after="0" w:line="240" w:lineRule="auto"/>
        <w:ind w:firstLineChars="222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политики по городу Заречному –  8;</w:t>
      </w:r>
    </w:p>
    <w:p w:rsidR="002B3F65" w:rsidRPr="000877EA" w:rsidRDefault="00A277DB" w:rsidP="002B3F65">
      <w:pPr>
        <w:numPr>
          <w:ilvl w:val="0"/>
          <w:numId w:val="6"/>
        </w:numPr>
        <w:tabs>
          <w:tab w:val="left" w:pos="700"/>
        </w:tabs>
        <w:spacing w:after="0" w:line="240" w:lineRule="auto"/>
        <w:ind w:firstLineChars="222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 МВД –  5</w:t>
      </w:r>
    </w:p>
    <w:p w:rsidR="002B3F65" w:rsidRPr="000877EA" w:rsidRDefault="00A277DB" w:rsidP="002B3F65">
      <w:pPr>
        <w:numPr>
          <w:ilvl w:val="0"/>
          <w:numId w:val="6"/>
        </w:numPr>
        <w:tabs>
          <w:tab w:val="left" w:pos="700"/>
        </w:tabs>
        <w:spacing w:after="0" w:line="240" w:lineRule="auto"/>
        <w:ind w:firstLineChars="222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 –  0.</w:t>
      </w:r>
    </w:p>
    <w:p w:rsidR="002B3F65" w:rsidRPr="000877EA" w:rsidRDefault="00A277DB">
      <w:pPr>
        <w:spacing w:after="0"/>
        <w:ind w:firstLine="71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всем сигналам проводилась проверка: специалисты осуществляли выходы в семьи (в некоторые семьи требуется проведение нескольких  повторных выходов), осуществлялось  взаимодействие с заинтересованными субъектами системы профилактики и организациями, с соседями и т.д. В ходе патронажных выходов проводится профилактическая и разъяснительная работа с семьями. Всего выполнено по сообщениям 32 выхода (без повторов).</w:t>
      </w:r>
    </w:p>
    <w:p w:rsidR="002B3F65" w:rsidRPr="000877EA" w:rsidRDefault="00A277DB">
      <w:pPr>
        <w:spacing w:after="0"/>
        <w:ind w:firstLine="71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 между субъектами профилактики является важным звеном в работе с семьѐй, который позволяет создать полную и объективную картину ситуации в семье, скорректировать план работы.</w:t>
      </w:r>
    </w:p>
    <w:p w:rsidR="002B3F65" w:rsidRPr="000877EA" w:rsidRDefault="00A277DB">
      <w:pPr>
        <w:spacing w:after="0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критерием эффективности реабилитации семьи является снятие семьи с контроля в связи с положительной динамикой. Такой показатель удаѐтся достичь при условии взаимного сотрудничества специалистов и семьи. С целью комплексной и разносторонней реабилитации всем семьям вышеназванных категорий рекомендуется написать заявление о социальном обслуживании, разъясняется порядок предоставления социальных услуг. Понимая низкую степень заинтересованности таких родителей, специалисты учреждения выходят на патронаж с полным пакетом документов в соответствии с 442-ФЗ и предлагают написать заявление в домашних условиях.</w:t>
      </w:r>
    </w:p>
    <w:p w:rsidR="002B3F65" w:rsidRPr="000877EA" w:rsidRDefault="002B3F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65" w:rsidRPr="000877EA" w:rsidRDefault="00A277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Реализация отдельных полномочий органа опеки попечительства.</w:t>
      </w:r>
    </w:p>
    <w:p w:rsidR="002B3F65" w:rsidRPr="000877EA" w:rsidRDefault="00A277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приёмных родителей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отдельных полномочий органа опеки и попечительству осуществлялась в части:</w:t>
      </w:r>
    </w:p>
    <w:p w:rsidR="002B3F65" w:rsidRPr="000877EA" w:rsidRDefault="00A277DB">
      <w:pPr>
        <w:numPr>
          <w:ilvl w:val="0"/>
          <w:numId w:val="7"/>
        </w:numPr>
        <w:tabs>
          <w:tab w:val="left" w:pos="923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несовершеннолетних граждан, нуждающихся в установлении над ними опеки и попечительства, включая обследование условий жизни таких несовершеннолетних граждан и их семей;</w:t>
      </w:r>
    </w:p>
    <w:p w:rsidR="002B3F65" w:rsidRPr="000877EA" w:rsidRDefault="00A277DB">
      <w:pPr>
        <w:numPr>
          <w:ilvl w:val="0"/>
          <w:numId w:val="7"/>
        </w:numPr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подбора и подготовки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2B3F65" w:rsidRPr="000877EA" w:rsidRDefault="00A27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части:</w:t>
      </w:r>
    </w:p>
    <w:p w:rsidR="002B3F65" w:rsidRPr="000877EA" w:rsidRDefault="00A277DB">
      <w:pPr>
        <w:numPr>
          <w:ilvl w:val="0"/>
          <w:numId w:val="7"/>
        </w:num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в создании оптимальных условий для развития, воспитания и социализации детей-сирот, детей, оставшихся без попечения родителей, и лиц из их числа;</w:t>
      </w:r>
    </w:p>
    <w:p w:rsidR="002B3F65" w:rsidRPr="000877EA" w:rsidRDefault="00A277DB">
      <w:pPr>
        <w:numPr>
          <w:ilvl w:val="0"/>
          <w:numId w:val="7"/>
        </w:num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в пределах полномочий каждой из Сторон социальных услуг различным видам замещающих семей.</w:t>
      </w:r>
    </w:p>
    <w:p w:rsidR="002B3F65" w:rsidRPr="000877EA" w:rsidRDefault="00A27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на обучение в ШПР поступило 0 граждан, планирующих принять в свою семью на воспитание детей (АППГ- 1). Прошли обучение и получили свидетельства об окончании курсов подготовки  0 граждан (АППГ- 5). В настоящее время работа Школы приёмных родителей приостановлена по причине карантина, связанного с профилактикой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 2-м квартале 2020 г. увеличилось количество граждан, ранее прошедших обучение в ШПР, принявших в свою семью на воспитание детей в апреле и мае 2020 г.: 6 граждан приняли 7 детей.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(АППГ- 3/3). Всего в ШПР проведено  0 (АППГ-53) занятий. Из них социально-психологических- 0 (АППГ- 30), социально-педагогических-  0 (АППГ- 10) социально-правовых- 0 (АППГ- 7), медицинских- 0(АППГ- 6).</w:t>
      </w:r>
    </w:p>
    <w:p w:rsidR="002B3F65" w:rsidRPr="000877EA" w:rsidRDefault="00A27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эффективности деятельности Школы приемных родителей выражен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F65" w:rsidRPr="000877EA" w:rsidRDefault="00A277D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увеличении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поставленных на сопровождение семей- 88 семей (119 детей) (АППГ-62 семьи/90 детей)</w:t>
      </w:r>
    </w:p>
    <w:p w:rsidR="002B3F65" w:rsidRPr="000877EA" w:rsidRDefault="00A277D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увеличении численного показателя принятых в семью на воспитание детей гражданами, прошедшими обучение в ШПР,  с 3  до </w:t>
      </w:r>
      <w:proofErr w:type="spellStart"/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spellEnd"/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1 факт отказа попечителя от исполнения обязанностей по воспитанию  3 детей по причине ухудшения  состояния здоровья попечителя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1  попечитель,  3 ребёнка)</w:t>
      </w:r>
      <w:r w:rsidRPr="00087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B3F65" w:rsidRPr="000877EA" w:rsidRDefault="00A277DB">
      <w:pPr>
        <w:numPr>
          <w:ilvl w:val="0"/>
          <w:numId w:val="8"/>
        </w:numPr>
        <w:tabs>
          <w:tab w:val="left" w:pos="1192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информационно-просветительской деятельности граждан Белоярского района, городского округа Заречный специалистами отделения сопровождения замещающих семей было подготовлено и размещено  14 статей в средствах массовой информации, в том числе и на официальном сайте ГАУ «КЦСОН «Забота» Белоярского района».</w:t>
      </w:r>
      <w:proofErr w:type="gramEnd"/>
    </w:p>
    <w:p w:rsidR="002B3F65" w:rsidRPr="000877EA" w:rsidRDefault="002B3F6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F65" w:rsidRPr="000877EA" w:rsidRDefault="00A277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Клубная деятельность отделений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отделении профилактики безнадзорности несовершеннолетних организован детский клуб «Божья коровка», в котором занимаются дети школьного возраста (до 10 лет).  Всего задействовано15  несовершеннолетних. Работу клуба организует и проводит социальный педагог отделения профилактики безнадзорности несовершеннолетних. </w:t>
      </w:r>
      <w:r w:rsidRPr="00087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2-м квартале занятия не проводились, в связи с карантинными ограничениями по коронавирусной инфекции.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создана и действует закрытая группа «Родительская гостиная» (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созданная специалистами отделения психолого-педагогической помощи, объединяющая семьи, воспитывающие детей-инвалидов, в том числе детей с ОВЗ, где каждый, и ребенок, и родитель,  могут получить индивидуальную квалифицированную консультацию психолога, социального педагога, специалиста по социальной работе в решении остро стоящих проблем, обменяться опытом воспитания особенных детишек.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отчетную дату 77 родителей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включенывзакрытую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группу.</w:t>
      </w:r>
    </w:p>
    <w:p w:rsidR="002B3F65" w:rsidRPr="000877EA" w:rsidRDefault="00A277D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ГАУ «КЦСОН «Забота» Белоярского района» действуют 9 клубных объединений для граждан пожилого возраста, охватывающие в среднем около100 человек в квартал: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«Радуга», «Бабье лето», «Для тех кому...», «Хозяюшка», «Счастье жить», «Росинка», «Современные родители», «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«Леди совершенство».</w:t>
      </w:r>
      <w:proofErr w:type="gramEnd"/>
    </w:p>
    <w:p w:rsidR="002B3F65" w:rsidRPr="000877EA" w:rsidRDefault="00A277D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клубных объединениях во втором квартале приняли участие 81 человек. Проведено 65 онлайн-встреч.</w:t>
      </w:r>
    </w:p>
    <w:p w:rsidR="002B3F65" w:rsidRPr="000877EA" w:rsidRDefault="00A277D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комплексной программы Свердловской области «Старшее поколение» на 2011-2013 гг., пролонгированной на 2019-2025 гг., реализуются направления реабилитационной программы «Школа пожилого возраста»:</w:t>
      </w:r>
    </w:p>
    <w:p w:rsidR="002B3F65" w:rsidRPr="000877EA" w:rsidRDefault="00A277D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«Компьютерная грамотность»</w:t>
      </w:r>
      <w:r w:rsidRPr="0008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предусматривает мероприятия, направленные на содействие пожилым гражданам в освоении информационных технологий. 1 гражданин во втором квартале  был участником </w:t>
      </w:r>
    </w:p>
    <w:p w:rsidR="002B3F65" w:rsidRPr="000877EA" w:rsidRDefault="00A277D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«Активное долголетие»</w:t>
      </w:r>
      <w:r w:rsidRPr="00087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пропагандирует здоровый образ жизни. В рамках этого направления граждане пожилого возраста получают теоретические знания и практические навыки активного долголетия и профилактики заболеваний, внедряют в повседневную жизнь рациональное питание, занимаются восстановительной лечебной гимнастикой. Так же организуются просветительские лекции, беседы, проводятся практические занятия, цель которых продлить активное долголетие граждан пожилого возраста; </w:t>
      </w:r>
    </w:p>
    <w:p w:rsidR="002B3F65" w:rsidRPr="000877EA" w:rsidRDefault="00A277D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«Творческая и прикладная деятельность»</w:t>
      </w:r>
      <w:r w:rsidRPr="00087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развитием способностей и приобретением навыков в прикладном и декоративном творчестве, организация клубов по творческим интересам пожилых людей. Разносторонний и многоуровневый характер реализуемых программ позволит удовлетворить широкий круг потребностей граждан пожилого возраста при разном уровне способностей и преодолеть их одиночество;</w:t>
      </w:r>
    </w:p>
    <w:p w:rsidR="002B3F65" w:rsidRPr="000877EA" w:rsidRDefault="00A277D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«Социальный туризм» через вовлечение пенсионеров и инвалидов занятиями пешим туризмом в соответствии с возрастом и состоянием здоровья участников, с целью ознакомления с достопримечательностями родного края. Социальный туризм тесно связан с социальным краеведением, способствует интересному, содержательно-познавательному общению людей пожилого возраста, смене обстановке, движению, активному образу жизни;</w:t>
      </w:r>
    </w:p>
    <w:p w:rsidR="002B3F65" w:rsidRPr="000877EA" w:rsidRDefault="00A277D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«Безопасная жизнедеятельность» - занимается теоретическими и практическими вопросами безопасности жизни граждан пожилого возраста. Данное направление реализуется путем распространения тематических буклетов и профилактических бесед  во время посещения граждан пожилого возраста на дому социальными работниками и специалистами по социальной работе на приемах в закрепленных территориях.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поводится работа по развитию волонтерского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движенияс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оказания помощи гражданам пожилого возраста и инвалидам.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волонтерской деятельностью охвачено  1213 граждан пожилого возраста. Привлечено в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человек. Волонтерами оказаны следующие виды помощи: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проведении мероприятия по поздравлению ветеранов труда, инвалидов с Новым годом;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поздравительных открыток для поздравления при вручении юбилейных медалей 75-летия Победы ВОВ ветеранам ВОВ;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поздравление ветеранов ВОВ с 90-летни Юбилеем;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помощи в организации питания - горячих обедов для пенсионеров;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помощи в сборе продуктовых наборов для нуждающихся граждан;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поздравление-концерт «Мечта ветерана»;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поздравление ветеранов ВОВ с Днем Победы;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акции #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доставка продуктовых наборов гражданам 65+.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Волонтерская деятельность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оуществлялась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благотворительным фондом «Люблю и благодарю», «Сима-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благотворительным фондом «Святой Екатерины», Министерством социальной политики Свердловской области и др.</w:t>
      </w:r>
    </w:p>
    <w:p w:rsidR="00C86D33" w:rsidRPr="000877EA" w:rsidRDefault="00C86D3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F65" w:rsidRPr="000877EA" w:rsidRDefault="00A277D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Организация занятости несовершеннолетних и взрослого населения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втором квартале 2020 года специалистами учреждения проведено 108 мероприятий на территории Белоярского района и города Заречного, которыми охвачено 2288 человек.  В целях роста престижа многодетности в обществе, повышения роли отца в семьях, 3 многодетные семьи (17 человек) приняли участие </w:t>
      </w:r>
      <w:proofErr w:type="spellStart"/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0877EA">
        <w:rPr>
          <w:rFonts w:ascii="Times New Roman" w:hAnsi="Times New Roman" w:cs="Times New Roman"/>
          <w:bCs/>
          <w:sz w:val="28"/>
          <w:szCs w:val="28"/>
        </w:rPr>
        <w:t>Всероссийском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онлайн фестивале "Папин день"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18 клиентов ОСЗС приняли участие во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Флешмобе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в социальных сетях "Сердечная благодарность" и 10 клиентов – во Всероссийском проекте "#ОКНАРОССИИ", посвященных Дню России.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В апреле 2020 г. подведены итоги  областного конкурса творческих работ «Город мастеров - 2020»  по направлению декоративно-прикладного и изобразительного творчества (заочный этап). Отделение психолого-педагогической помощи получило письменную благодарность от МАОУ СОШ № 96 за организацию и проведение заочного этапа конкурса в условиях ограничительных мероприятий. 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учреждения размещена статья и итоговый протокол проведения заочного этапа  мероприятия «Город мастеров». В отделении психолого-педагогической помощи приняли участие 7 детей с ОВЗ. Победители в номинации «Золотые руки» дети от 3 до 6 лет заняли 1 место –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ЗиякаеваАделина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, за 2 место –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Егорочкин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Антон; дети от 10 до 12 лет – 1 место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Ильчигулов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Илья, 3 место –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Евпак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Владислав. В номинации «Мастер кисти» дети от 10-12 лет – 1 место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Евпак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Владислав. Подготовила победителей и призеров социальный педагог Чечулина Н.П.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В мае 2020 г. Социальным педагогом Чечулиной Н.П. проведен конкурс рисунков на тему: «75 лет Победе в Великой отечественной войне» с детьми ОВЗ на дому, в связи с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– в котором приняли участие 12 человек.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В отделении психолого-педагогической помощи оформлен стенд детскими рисунками, посвященный «75 -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Победы в Великой отечественной войне».</w:t>
      </w:r>
    </w:p>
    <w:p w:rsidR="002B3F65" w:rsidRPr="000877EA" w:rsidRDefault="00A277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           Также, к празднованию Международного дня защиты детей в отделении социальным педагогом проведен  мастер-класс  на тему: «Бабочки»  с размещением в социальные сети: «</w:t>
      </w:r>
      <w:proofErr w:type="gramStart"/>
      <w:r w:rsidRPr="000877EA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0877EA">
        <w:rPr>
          <w:rFonts w:ascii="Times New Roman" w:hAnsi="Times New Roman" w:cs="Times New Roman"/>
          <w:bCs/>
          <w:sz w:val="28"/>
          <w:szCs w:val="28"/>
        </w:rPr>
        <w:t>» «Контакт» и на официальном сайте учреждения.</w:t>
      </w:r>
    </w:p>
    <w:p w:rsidR="002B3F65" w:rsidRPr="000877EA" w:rsidRDefault="00A277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Специалистом по социальной работе Сенотрусовой Н.П. создан видеоматериал по направлению: «Чтение народных сказок».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>В июне 2020 г</w:t>
      </w:r>
      <w:proofErr w:type="gramStart"/>
      <w:r w:rsidRPr="000877E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пециалисты по социальной работе и социальный педагог отделения приняли участие в онлайн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>-моб: «Свеча памяти». Также, 22.06.2020 г. в акции «Минута молчания».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Социальным педагогом Чечулиной Н.П.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проведенолайн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-конкурс рисунков на тему: «Моя Россия», Мой мир, мои Герои» – в котором приняли участие 11 детей-инвалидов и детей с ОВЗ. Информация по итогам размещена на официальном сайте учреждения. Семья специалиста по социальной работе приняла активное участие во </w:t>
      </w:r>
      <w:proofErr w:type="gramStart"/>
      <w:r w:rsidRPr="000877EA">
        <w:rPr>
          <w:rFonts w:ascii="Times New Roman" w:hAnsi="Times New Roman" w:cs="Times New Roman"/>
          <w:bCs/>
          <w:sz w:val="28"/>
          <w:szCs w:val="28"/>
        </w:rPr>
        <w:t>Всероссийском</w:t>
      </w:r>
      <w:proofErr w:type="gram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онлайн-фестивале «Папин день». Информация размещена на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официальномсайте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учреждения, в социальной сети «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Инстаграмм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В апреле проведена профилактическая акция: «Единый день профилактики» - среди клиентов на обслуживаемых территориях с использованием дистанционных форм социального обслуживания посредством организации и проведения профилактических бесед, и во время социального обслуживания на дому в рамках ИППСУ: «Профилактика коронавирусной инфекции (COVIL-19), «Дорожные ловушки», «Осторожно, паводок!», «Безопасность детей в быту».  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В ГО </w:t>
      </w:r>
      <w:proofErr w:type="gramStart"/>
      <w:r w:rsidRPr="000877EA">
        <w:rPr>
          <w:rFonts w:ascii="Times New Roman" w:hAnsi="Times New Roman" w:cs="Times New Roman"/>
          <w:bCs/>
          <w:sz w:val="28"/>
          <w:szCs w:val="28"/>
        </w:rPr>
        <w:t>Заречный</w:t>
      </w:r>
      <w:proofErr w:type="gramEnd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 и БГО среди населения распространено 70 листовок по профилактике коронавирусной инфекции (COVIL-19) – через почтовые ящики.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В мае 2020 года в отделении проводились профилактические акции и мероприятия: </w:t>
      </w:r>
    </w:p>
    <w:p w:rsidR="002B3F65" w:rsidRPr="000877EA" w:rsidRDefault="00A277DB" w:rsidP="000877E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77EA">
        <w:rPr>
          <w:rFonts w:eastAsiaTheme="minorHAnsi"/>
          <w:bCs/>
          <w:sz w:val="28"/>
          <w:szCs w:val="28"/>
          <w:lang w:eastAsia="en-US"/>
        </w:rPr>
        <w:t xml:space="preserve">- Профилактическая акция  «Подросток» - подготовительный этап. В соответствии с графиком плановых патронажей специалистами осуществлена проверка по месту жительства семей, состоящих на профилактическом учёте и находящихся в социально опасном положении», а также подростков, поставленных на </w:t>
      </w:r>
      <w:proofErr w:type="spellStart"/>
      <w:r w:rsidRPr="000877EA">
        <w:rPr>
          <w:rFonts w:eastAsiaTheme="minorHAnsi"/>
          <w:bCs/>
          <w:sz w:val="28"/>
          <w:szCs w:val="28"/>
          <w:lang w:eastAsia="en-US"/>
        </w:rPr>
        <w:t>внутришкольный</w:t>
      </w:r>
      <w:proofErr w:type="spellEnd"/>
      <w:r w:rsidRPr="000877EA">
        <w:rPr>
          <w:rFonts w:eastAsiaTheme="minorHAnsi"/>
          <w:bCs/>
          <w:sz w:val="28"/>
          <w:szCs w:val="28"/>
          <w:lang w:eastAsia="en-US"/>
        </w:rPr>
        <w:t xml:space="preserve"> учёт. Всего в ходе подготовительного этапа проведено 6 плановых патронажей.  При посещении семей нарушений не выявлено. С родителями несовершеннолетних проведены профилактические беседы об обязанностях и мерах ответственности в случае их неисполнения, даны рекомендации по воспитанию законопослушного поведения несовершеннолетних детей. Специалистами проведена работа по изучению  потребностей детей и подростков в отдыхе, оздоровлении и трудовой занятости. Родителям выданы тематические памятки: «Организация временного трудоустройства несовершеннолетних граждан». Также родители несовершеннолетних информированы о возможностях организации занятости, отдыха и оздоровления. Законным представителям несовершеннолетних, заканчивающих 9 класс, состоящих на различных видах профилактического учета, в том числе детей-инвалидов оказана консультативная помощь в выборе образовательного маршрута. На официальном сайте учреждения в разделе консультации психолога размещена памятка: «Агрессивный ребенок: рекомендации родителям». В социальной сети</w:t>
      </w:r>
      <w:proofErr w:type="gramStart"/>
      <w:r w:rsidRPr="000877EA">
        <w:rPr>
          <w:rFonts w:eastAsiaTheme="minorHAnsi"/>
          <w:bCs/>
          <w:sz w:val="28"/>
          <w:szCs w:val="28"/>
          <w:lang w:eastAsia="en-US"/>
        </w:rPr>
        <w:t xml:space="preserve"> В</w:t>
      </w:r>
      <w:proofErr w:type="gramEnd"/>
      <w:r w:rsidRPr="000877EA">
        <w:rPr>
          <w:rFonts w:eastAsiaTheme="minorHAnsi"/>
          <w:bCs/>
          <w:sz w:val="28"/>
          <w:szCs w:val="28"/>
          <w:lang w:eastAsia="en-US"/>
        </w:rPr>
        <w:t xml:space="preserve"> Контакте размещена информация по поступлению в образовательную организацию для детей-инвалидов «Ресурс». </w:t>
      </w:r>
      <w:proofErr w:type="gramStart"/>
      <w:r w:rsidRPr="000877EA">
        <w:rPr>
          <w:rFonts w:eastAsiaTheme="minorHAnsi"/>
          <w:bCs/>
          <w:sz w:val="28"/>
          <w:szCs w:val="28"/>
          <w:lang w:eastAsia="en-US"/>
        </w:rPr>
        <w:t>В рамках акции «Безопасность детства 2020» направленной на профилактику детского травматизма, чрезвычайных ситуаций в период летних школьных каникул – во время социальных патронажей проведены профилактические беседы по темам:</w:t>
      </w:r>
      <w:proofErr w:type="gramEnd"/>
      <w:r w:rsidRPr="000877EA">
        <w:rPr>
          <w:rFonts w:eastAsiaTheme="minorHAnsi"/>
          <w:bCs/>
          <w:sz w:val="28"/>
          <w:szCs w:val="28"/>
          <w:lang w:eastAsia="en-US"/>
        </w:rPr>
        <w:t xml:space="preserve"> «Профилактика детского травматизма», </w:t>
      </w:r>
      <w:r w:rsidRPr="000877EA">
        <w:rPr>
          <w:rFonts w:eastAsiaTheme="minorHAnsi"/>
          <w:bCs/>
          <w:sz w:val="28"/>
          <w:szCs w:val="28"/>
          <w:lang w:eastAsia="en-US"/>
        </w:rPr>
        <w:lastRenderedPageBreak/>
        <w:t xml:space="preserve">«Безопасность на воде», «Профилактика выпадения из окон», «Правила отдыха на природе». Проведена разъяснительная беседа с подростками по предупреждению противоправных действий и чрезвычайных происшествий, а также индивидуальные профилактические беседы с подростками о недопустимости курения. Родителям вручены тематические памятки: «профилактика употребления  </w:t>
      </w:r>
      <w:proofErr w:type="spellStart"/>
      <w:r w:rsidRPr="000877EA">
        <w:rPr>
          <w:rFonts w:eastAsiaTheme="minorHAnsi"/>
          <w:bCs/>
          <w:sz w:val="28"/>
          <w:szCs w:val="28"/>
          <w:lang w:eastAsia="en-US"/>
        </w:rPr>
        <w:t>спайсов</w:t>
      </w:r>
      <w:proofErr w:type="spellEnd"/>
      <w:r w:rsidRPr="000877EA">
        <w:rPr>
          <w:rFonts w:eastAsiaTheme="minorHAnsi"/>
          <w:bCs/>
          <w:sz w:val="28"/>
          <w:szCs w:val="28"/>
          <w:lang w:eastAsia="en-US"/>
        </w:rPr>
        <w:t xml:space="preserve">», «Спайс убивает», «Права несовершеннолетних»,  «Детский травматизм», «Безопасность ребенка в доме и на улице». Родителям разъяснены основные статьи законодательства РФ об административных правонарушениях, даны рекомендации по воспитанию законопослушного поведения у детей, представлен печатный материал по профилактике наркомании, а также номера телефонов служб, куда можно обратиться, в том числе анонимно, за помощью по вопросам, связанным с воспитанием детей. </w:t>
      </w:r>
    </w:p>
    <w:p w:rsidR="002B3F65" w:rsidRPr="000877EA" w:rsidRDefault="00A277DB" w:rsidP="000877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В июне 2020 года в отделении проводились профилактические акции: </w:t>
      </w:r>
    </w:p>
    <w:p w:rsidR="002B3F65" w:rsidRPr="000877EA" w:rsidRDefault="00A277DB" w:rsidP="000877E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77EA">
        <w:rPr>
          <w:rFonts w:eastAsiaTheme="minorHAnsi"/>
          <w:bCs/>
          <w:sz w:val="28"/>
          <w:szCs w:val="28"/>
          <w:lang w:eastAsia="en-US"/>
        </w:rPr>
        <w:t>- Профилактическая акция  «Подросток» - основной этап. Организованы и проведены профилактические мероприятия по формированию ценностей здорового образа жизни, направленные на профилактику здорового образа жизни, профилактику вредных привычек:</w:t>
      </w:r>
    </w:p>
    <w:p w:rsidR="002B3F65" w:rsidRPr="000877EA" w:rsidRDefault="00A277D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0877EA">
        <w:rPr>
          <w:rFonts w:eastAsiaTheme="minorHAnsi"/>
          <w:bCs/>
          <w:sz w:val="28"/>
          <w:szCs w:val="28"/>
          <w:lang w:eastAsia="en-US"/>
        </w:rPr>
        <w:t xml:space="preserve">Во время проведения плановых социальных патронажей в семьи 9 родителям несовершеннолетних подростков, находящихся в «группе риска», выдана тематическая памятка на тему: «Причины, условия и последствия потребления алкоголя, наркотиков, табака детьми и подростками. С несовершеннолетними специалистами ОППП проведена профилактическая беседа на тему: «Искореним вредные привычки». По организации работы с несовершеннолетними с </w:t>
      </w:r>
      <w:proofErr w:type="spellStart"/>
      <w:r w:rsidRPr="000877EA">
        <w:rPr>
          <w:rFonts w:eastAsiaTheme="minorHAnsi"/>
          <w:bCs/>
          <w:sz w:val="28"/>
          <w:szCs w:val="28"/>
          <w:lang w:eastAsia="en-US"/>
        </w:rPr>
        <w:t>аддиктивными</w:t>
      </w:r>
      <w:proofErr w:type="spellEnd"/>
      <w:r w:rsidRPr="000877EA">
        <w:rPr>
          <w:rFonts w:eastAsiaTheme="minorHAnsi"/>
          <w:bCs/>
          <w:sz w:val="28"/>
          <w:szCs w:val="28"/>
          <w:lang w:eastAsia="en-US"/>
        </w:rPr>
        <w:t xml:space="preserve"> формами поведения, проведены профилактические беседы по темам: «Наркомания, токсикомания – вред здоровью», «Я выбираю здоровый образ жизни». Охвачены семьи, воспитывающие подростков, находящиеся в социально-опасном положении: Милюковой Д.С., Романовой О.М., Костенко А.А., </w:t>
      </w:r>
      <w:proofErr w:type="spellStart"/>
      <w:r w:rsidRPr="000877EA">
        <w:rPr>
          <w:rFonts w:eastAsiaTheme="minorHAnsi"/>
          <w:bCs/>
          <w:sz w:val="28"/>
          <w:szCs w:val="28"/>
          <w:lang w:eastAsia="en-US"/>
        </w:rPr>
        <w:t>Токманцевой</w:t>
      </w:r>
      <w:proofErr w:type="spellEnd"/>
      <w:r w:rsidRPr="000877EA">
        <w:rPr>
          <w:rFonts w:eastAsiaTheme="minorHAnsi"/>
          <w:bCs/>
          <w:sz w:val="28"/>
          <w:szCs w:val="28"/>
          <w:lang w:eastAsia="en-US"/>
        </w:rPr>
        <w:t xml:space="preserve"> И.А., </w:t>
      </w:r>
      <w:proofErr w:type="spellStart"/>
      <w:r w:rsidRPr="000877EA">
        <w:rPr>
          <w:rFonts w:eastAsiaTheme="minorHAnsi"/>
          <w:bCs/>
          <w:sz w:val="28"/>
          <w:szCs w:val="28"/>
          <w:lang w:eastAsia="en-US"/>
        </w:rPr>
        <w:t>Мельтовых</w:t>
      </w:r>
      <w:proofErr w:type="spellEnd"/>
      <w:r w:rsidRPr="000877EA">
        <w:rPr>
          <w:rFonts w:eastAsiaTheme="minorHAnsi"/>
          <w:bCs/>
          <w:sz w:val="28"/>
          <w:szCs w:val="28"/>
          <w:lang w:eastAsia="en-US"/>
        </w:rPr>
        <w:t>, Романовой О.М.</w:t>
      </w:r>
    </w:p>
    <w:p w:rsidR="002B3F65" w:rsidRPr="000877EA" w:rsidRDefault="00A277D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877EA">
        <w:rPr>
          <w:rFonts w:eastAsiaTheme="minorHAnsi"/>
          <w:bCs/>
          <w:sz w:val="28"/>
          <w:szCs w:val="28"/>
          <w:lang w:eastAsia="en-US"/>
        </w:rPr>
        <w:t>В рамках акции «Безопасность детства 2020» направленной на профилактику детского травматизма, чрезвычайных ситуаций в период летних школьных каникул – во время социальных патронажей проведены профилактические беседы по темам с выдачей информационного буклета родителям:</w:t>
      </w:r>
      <w:proofErr w:type="gramEnd"/>
      <w:r w:rsidRPr="000877EA">
        <w:rPr>
          <w:rFonts w:eastAsiaTheme="minorHAnsi"/>
          <w:bCs/>
          <w:sz w:val="28"/>
          <w:szCs w:val="28"/>
          <w:lang w:eastAsia="en-US"/>
        </w:rPr>
        <w:t xml:space="preserve"> «Профилактика детского травматизма», «Безопасность ребенка в доме и на улице».  Проведена разъяснительная беседа с подростками по предупреждению противоправных действий и чрезвычайных происшествий. Родителям разъяснены основные статьи законодательства РФ об административных правонарушениях, даны рекомендации по воспитанию законопослушного поведения у детей, представлен печатный материал по профилактике наркомании, а также номера телефонов служб, куда можно обратиться, в том числе анонимно, за помощью по вопросам, связанным с воспитанием детей.</w:t>
      </w:r>
    </w:p>
    <w:p w:rsidR="002B3F65" w:rsidRDefault="002B3F65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C" w:rsidRDefault="00C50B8C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C" w:rsidRDefault="00C50B8C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C" w:rsidRDefault="00C50B8C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C" w:rsidRDefault="00C50B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F65" w:rsidRPr="000877EA" w:rsidRDefault="00A277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Деятельность специалистов участковой социальной службы и отделения профилактики безнадзорности несовершеннолетних по сопровождению лиц, освободившихся из мест лишения свободы, оказанию мер социальной поддержке, помощи в трудоустройстве и профессиональной подготовку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работу с лицами, освободившимися из мест лишения свободы, в центре проводят специалисты по социальной работе участковой социальной службы. Работа специалистов в центре с совершеннолетними лицами, освободившимися из мест лишения свободы, выстроена по технологии межведомственного взаимодействия в соответствие с заключенными соглашениями.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учреждение за 6 месяцев до освобождения, заключенного из Федерального казенного учреждения исправительной колонии поступает уведомление о дате освобождения, месте предполагаемого жительства, а также информация об освоенной им профессии. Специалист по социальной работе выезжает с патронажем по указанному адресу для сбора информации: о жилищно-бытовых условиях в адресе, возможности в нем проживания, а также о возможном трудоустройстве по месту проживания и родственных связях. Полученные в ходе патронажа результаты направляются в адрес запрашиваемой стороны. 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освобождения каждое лицо, ранее осужденное, берется на учет специалистом по социальной работе центра для оказания социальной помощи и сопровождения с целью проведения комплекса мероприятий по его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(повторной социализации), которые включают решение, при необходимости, проблемы трудовой занятости, оказание помощи в оформлении недостающих документов, содействие в получении медицинских услуг и сопровождении в медицинскую организацию, оказывается вещевая помощь (б/у).</w:t>
      </w:r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 гражданина предоставляются социальные услуги. На каждого освободившегося взрослого в центре заводится социальная карта гражданина, вернувшегося из мест лишения свободы, в которой отражается полная о нем информация. 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базе данных на 30.06.2020 года по Белоярскому району числятся 19 человек, по ГО Заречный – 9 человек. 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был посещен специалистом по социальной работе совместно с участковым инспектором полиции на дому с профилактической целью: оказана консультативная помощь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интересов, проведены  профилактические беседы, направленные на сохранение здоровья, предупреждение семейного неблагополучия, повторных правонарушений с вручением тематических буклетов.</w:t>
      </w:r>
      <w:proofErr w:type="gramEnd"/>
    </w:p>
    <w:p w:rsidR="002B3F65" w:rsidRPr="000877EA" w:rsidRDefault="002B3F65">
      <w:pPr>
        <w:tabs>
          <w:tab w:val="left" w:pos="288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F65" w:rsidRPr="000877EA" w:rsidRDefault="00A277DB">
      <w:pPr>
        <w:tabs>
          <w:tab w:val="left" w:pos="288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Информационная открытость учреждения 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квартал 2020 года на сайте учреждения размещено 41 информационная статья, как отчет о проведенных мероприятиях специалистами центра.</w:t>
      </w:r>
    </w:p>
    <w:p w:rsidR="002B3F65" w:rsidRPr="000877EA" w:rsidRDefault="00A277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информирования населения о деятельности учреждения специалисты постоянно обновляют и разрабатывают наглядные и раздаточные информационные материалы. Такие материалы содержат информацию об услугах, предоставляемых структурными подразделениями учреждения, о летней занятости несовершеннолетних, о проведенных акциях и мероприятиях. Часть материалов направлена на повышение педагогической, семейной и психологической культуры, имеет профилактическую направленность.</w:t>
      </w:r>
    </w:p>
    <w:p w:rsidR="002B3F65" w:rsidRPr="000877EA" w:rsidRDefault="00A277DB">
      <w:pPr>
        <w:tabs>
          <w:tab w:val="left" w:pos="1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Всего за 2 квартал распространено раздаточных информационных материалов (памятки, буклеты, листовки, информационные листы и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более 5000 </w:t>
      </w:r>
      <w:r w:rsidRPr="0008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штук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F65" w:rsidRPr="000877EA" w:rsidRDefault="002B3F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65" w:rsidRPr="000877EA" w:rsidRDefault="00A277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Административная и финансовая деятельность. </w:t>
      </w:r>
    </w:p>
    <w:p w:rsidR="002B3F65" w:rsidRPr="000877EA" w:rsidRDefault="00A277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со стороны финансово-экономического отдела Министерства социальной политики Свердловской области замечаний к срокам формирования и качеству предоставления бюджетной, бухгалтерской, налоговой отчетности не предъявлялось. </w:t>
      </w:r>
    </w:p>
    <w:p w:rsidR="002B3F65" w:rsidRPr="000877EA" w:rsidRDefault="00A277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01.04.2020 года просроченная дебиторская и (или) кредиторская задолженности отсутствуют. </w:t>
      </w: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 все показатели, касающиеся доведения заработной платы работников до установленных «Дорожной картой», а также показатели, связанные с закупками и реализацией плановых мероприятий, согласованных с надзорными органами, по обеспечению условий охраны труда, по приведению условий в соответствие с санитарно-гигиеническими требованиями, требованиями пожарной безопасности, антитеррористической безопасности. </w:t>
      </w:r>
      <w:proofErr w:type="gramEnd"/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77EA">
        <w:rPr>
          <w:rFonts w:ascii="Times New Roman" w:hAnsi="Times New Roman" w:cs="Times New Roman"/>
          <w:b/>
          <w:bCs/>
          <w:sz w:val="28"/>
          <w:szCs w:val="28"/>
        </w:rPr>
        <w:t>В целях реализации мероприятий по устранению Предписаний надзорных органов в 2 квартале 2020г. проведен комплекс мероприятий по следующим направлениям: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77EA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Разработка сметной документации на снос административного здания и спального корпуса  </w:t>
      </w:r>
      <w:r w:rsidRPr="000877EA">
        <w:rPr>
          <w:rFonts w:ascii="Times New Roman" w:hAnsi="Times New Roman" w:cs="Times New Roman"/>
          <w:bCs/>
          <w:sz w:val="28"/>
          <w:szCs w:val="28"/>
        </w:rPr>
        <w:t>(неиспользуемое имущество, имеется предписание КРО). (Участие в обследовании здания для составления сметной документации и направление документации на экспертизу Мероприятия по привлечению сторонней организации для составления сметной документации на безвозмездной основе; Получение положительного экспертного заключение на сметную документацию.)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77EA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Проведение закупочных процедур на выполнение работ по текущему ремонту помещений </w:t>
      </w:r>
      <w:r w:rsidRPr="000877EA">
        <w:rPr>
          <w:rFonts w:ascii="Times New Roman" w:hAnsi="Times New Roman" w:cs="Times New Roman"/>
          <w:bCs/>
          <w:sz w:val="28"/>
          <w:szCs w:val="28"/>
        </w:rPr>
        <w:t xml:space="preserve">(в т.ч. подготовка технического задания, проекта договора, закупочной документации, подготовка ответов на разъяснения документации и т.п.). 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77EA">
        <w:rPr>
          <w:rFonts w:ascii="Times New Roman" w:hAnsi="Times New Roman" w:cs="Times New Roman"/>
          <w:bCs/>
          <w:i/>
          <w:sz w:val="28"/>
          <w:szCs w:val="28"/>
          <w:u w:val="single"/>
        </w:rPr>
        <w:t>Сопровождение работ по текущему ремонту помещений СРО</w:t>
      </w:r>
      <w:r w:rsidRPr="000877EA">
        <w:rPr>
          <w:rFonts w:ascii="Times New Roman" w:hAnsi="Times New Roman" w:cs="Times New Roman"/>
          <w:bCs/>
          <w:sz w:val="28"/>
          <w:szCs w:val="28"/>
        </w:rPr>
        <w:t xml:space="preserve"> (в т.ч. контроль хода выполнения работ, соблюдения подрядчиками условий договора и т.п.). 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77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77EA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Подготовка сметной документации по текущему ремонт помещений (</w:t>
      </w:r>
      <w:r w:rsidRPr="000877EA">
        <w:rPr>
          <w:rFonts w:ascii="Times New Roman" w:hAnsi="Times New Roman" w:cs="Times New Roman"/>
          <w:bCs/>
          <w:sz w:val="28"/>
          <w:szCs w:val="28"/>
        </w:rPr>
        <w:t>частичная замена канализации в помещении СРО и проведение водоснабжения в помещение склада) Мероприятия по привлечению сторонней организации для составления сметной документации и согласование смет в МСП Свердловской области)</w:t>
      </w:r>
      <w:proofErr w:type="gramEnd"/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0877EA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Информирование и согласование проведения мероприятий по ремонту СРО в МСП </w:t>
      </w:r>
      <w:r w:rsidRPr="000877EA">
        <w:rPr>
          <w:rFonts w:ascii="Times New Roman" w:hAnsi="Times New Roman" w:cs="Times New Roman"/>
          <w:bCs/>
          <w:sz w:val="28"/>
          <w:szCs w:val="28"/>
        </w:rPr>
        <w:t>(подготовка писем, уведомлений о ходе выполнения мероприятий и т.п.)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77EA">
        <w:rPr>
          <w:rFonts w:ascii="Times New Roman" w:hAnsi="Times New Roman" w:cs="Times New Roman"/>
          <w:bCs/>
          <w:sz w:val="28"/>
          <w:szCs w:val="28"/>
          <w:u w:val="single"/>
        </w:rPr>
        <w:t>Оформление договора и сопровождение работ по модернизации (замене) АПС.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Проведены мероприятия по установке системы видеонаблюдения </w:t>
      </w:r>
      <w:proofErr w:type="gramStart"/>
      <w:r w:rsidRPr="000877EA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Pr="000877E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помещении ОВП</w:t>
      </w:r>
    </w:p>
    <w:p w:rsidR="002B3F65" w:rsidRPr="000877EA" w:rsidRDefault="002B3F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77EA">
        <w:rPr>
          <w:rFonts w:ascii="Times New Roman" w:hAnsi="Times New Roman" w:cs="Times New Roman"/>
          <w:b/>
          <w:bCs/>
          <w:sz w:val="28"/>
          <w:szCs w:val="28"/>
        </w:rPr>
        <w:t>Обеспечена административно-хозяйственная деятельность Учреждения, в т.ч.: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>Организована и проведена работа по обеспечению текущей деятельности Учреждения, в т.ч. приобретение хозяйственных и канцелярских товаров, строительных материалов, поддержание офисной техники и мебели в рабочем состоянии (ремонт и профилактика) и т.п.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Организована работа по ремонту автотранспортных средств и приобретению расходных материалов для автотранспортных средств (ТО автомобилей, ремонт автомобилей, замена </w:t>
      </w:r>
      <w:proofErr w:type="spellStart"/>
      <w:r w:rsidRPr="000877EA">
        <w:rPr>
          <w:rFonts w:ascii="Times New Roman" w:hAnsi="Times New Roman" w:cs="Times New Roman"/>
          <w:bCs/>
          <w:sz w:val="28"/>
          <w:szCs w:val="28"/>
        </w:rPr>
        <w:t>тахографа</w:t>
      </w:r>
      <w:proofErr w:type="spellEnd"/>
      <w:r w:rsidRPr="000877EA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>Организована работа по страхованию автотранспортных средств.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>Проведены мероприятия и получена лицензия на перевозку пассажиров для автобуса.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>Организована работа по приобретению спецодежды для работников ГАУ «КЦСОН «Забота» Белоярского района».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 xml:space="preserve">Проведены мероприятия в целях предотвращения распространения новой коронавирусной инфекции (приобретение дезинфицирующих средств, </w:t>
      </w:r>
      <w:proofErr w:type="gramStart"/>
      <w:r w:rsidRPr="000877EA">
        <w:rPr>
          <w:rFonts w:ascii="Times New Roman" w:hAnsi="Times New Roman" w:cs="Times New Roman"/>
          <w:bCs/>
          <w:sz w:val="28"/>
          <w:szCs w:val="28"/>
        </w:rPr>
        <w:t>СИЗ</w:t>
      </w:r>
      <w:proofErr w:type="gramEnd"/>
      <w:r w:rsidRPr="000877EA">
        <w:rPr>
          <w:rFonts w:ascii="Times New Roman" w:hAnsi="Times New Roman" w:cs="Times New Roman"/>
          <w:bCs/>
          <w:sz w:val="28"/>
          <w:szCs w:val="28"/>
        </w:rPr>
        <w:t>, оборудования для обеззараживания воздуха)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>Организована работа по восстановлению телефонной и интернет связи спомещениях СРО, а также восстановление средств охранной сигнализации.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A">
        <w:rPr>
          <w:rFonts w:ascii="Times New Roman" w:hAnsi="Times New Roman" w:cs="Times New Roman"/>
          <w:bCs/>
          <w:sz w:val="28"/>
          <w:szCs w:val="28"/>
        </w:rPr>
        <w:t>Ведение договорной работы (подготовка и согласование договоров, ведение реестра договоров, контроль выполнения условий договора, подготовка претензий контрагентам и т.п.)</w:t>
      </w:r>
    </w:p>
    <w:p w:rsidR="002B3F65" w:rsidRPr="000877EA" w:rsidRDefault="002B3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F65" w:rsidRPr="000877EA" w:rsidRDefault="00A2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Охрана труда </w:t>
      </w:r>
    </w:p>
    <w:p w:rsidR="002B3F65" w:rsidRPr="000877EA" w:rsidRDefault="00A27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D33"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отчетный период   проведен месячник по пожарной безопасности.</w:t>
      </w:r>
    </w:p>
    <w:p w:rsidR="002B3F65" w:rsidRPr="000877EA" w:rsidRDefault="00A27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рамках месячника пожарной безопасности проведена проверка состояния пожарной безопасности и охраны труда в учреждении, составлены акты о несоответствии/наблюдении  № 5 от 29.05.2020г.,  № 6 от 16.06.2020г. Всего выявлено 9 несоответствий. Устранены все несоответствия в установленные актами сроки.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противопожарной защищенности учреждения и формирования у работников навыков пожаротушения 23 июня 2020 года в ГАУ «КЦСОН «Забота» Белоярского района» было проведено мероприятие совместно с  начальником Белоярского производственного участка ВДПО </w:t>
      </w:r>
      <w:proofErr w:type="spellStart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Кулаевой</w:t>
      </w:r>
      <w:proofErr w:type="spellEnd"/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Татьяной Алексеевной   по применению огнетушителя на практике,  а также беседа о правилах предосторожности при пользовании первичными средствами пожаротушения.</w:t>
      </w:r>
      <w:proofErr w:type="gramEnd"/>
    </w:p>
    <w:p w:rsidR="002B3F65" w:rsidRPr="000877EA" w:rsidRDefault="00A2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Занятие прошло с демонстрацией применения огнетушителя на практике при тушении условного пожара. В данном мероприятии приняли участие 32 работника центра.</w:t>
      </w:r>
    </w:p>
    <w:p w:rsidR="002B3F65" w:rsidRPr="000877EA" w:rsidRDefault="00A27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информационным письмом Министерства социальной политики Свердловской области</w:t>
      </w:r>
      <w:proofErr w:type="gramStart"/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соблюдения правил пожарной безопасности проведен внеплановый инструктаж с работниками отделений по  вопросам пожарной безопасности, охвачено все</w:t>
      </w:r>
      <w:r w:rsidR="000877EA"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7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действующие работники учреждения.</w:t>
      </w:r>
    </w:p>
    <w:p w:rsidR="002B3F65" w:rsidRPr="000877EA" w:rsidRDefault="00A2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Организована в условиях БЦРБ   вакцинация работников учрежден</w:t>
      </w:r>
      <w:r w:rsidR="001F54C9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против клещевого энцефалита. Вся вакцинация проведена в плановом режиме.</w:t>
      </w:r>
    </w:p>
    <w:p w:rsidR="002B3F65" w:rsidRPr="000877EA" w:rsidRDefault="00A2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введенных ограничительных мероприятий по предупреждению распространения коронавирусной инфекции на территории Свердловской области проводился мониторинг здоровья работников учреждения и еженедельный мониторинг получателей социальных услуг. </w:t>
      </w:r>
    </w:p>
    <w:p w:rsidR="002B3F65" w:rsidRPr="000877EA" w:rsidRDefault="00A277DB" w:rsidP="00087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Мониторинговые отчеты предоставлялся по формам № 1, 4, 5 и отправлялся в запрашиваемый орган в ежедневном, еженедельном режиме. Кроме того, в течение 2 квартала завершен плановый медицинский осмотр и вакци</w:t>
      </w:r>
      <w:r w:rsidR="000877EA"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нация работников, организованных</w:t>
      </w:r>
      <w:r w:rsidRP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БЦРБ.</w:t>
      </w:r>
    </w:p>
    <w:p w:rsidR="002B3F65" w:rsidRPr="000877EA" w:rsidRDefault="002B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B3F65" w:rsidRPr="000877EA" w:rsidSect="002B3F65">
      <w:headerReference w:type="even" r:id="rId17"/>
      <w:pgSz w:w="11906" w:h="16838"/>
      <w:pgMar w:top="720" w:right="707" w:bottom="993" w:left="993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7B" w:rsidRDefault="001D407B" w:rsidP="002B3F65">
      <w:pPr>
        <w:spacing w:after="0" w:line="240" w:lineRule="auto"/>
      </w:pPr>
      <w:r>
        <w:separator/>
      </w:r>
    </w:p>
  </w:endnote>
  <w:endnote w:type="continuationSeparator" w:id="0">
    <w:p w:rsidR="001D407B" w:rsidRDefault="001D407B" w:rsidP="002B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7B" w:rsidRDefault="001D407B" w:rsidP="002B3F65">
      <w:pPr>
        <w:spacing w:after="0" w:line="240" w:lineRule="auto"/>
      </w:pPr>
      <w:r>
        <w:separator/>
      </w:r>
    </w:p>
  </w:footnote>
  <w:footnote w:type="continuationSeparator" w:id="0">
    <w:p w:rsidR="001D407B" w:rsidRDefault="001D407B" w:rsidP="002B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33" w:rsidRDefault="00C86D33">
    <w:pPr>
      <w:pStyle w:val="a8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14</w:t>
    </w:r>
    <w:r>
      <w:fldChar w:fldCharType="end"/>
    </w:r>
  </w:p>
  <w:p w:rsidR="00C86D33" w:rsidRDefault="00C86D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multilevel"/>
    <w:tmpl w:val="00000633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19DA"/>
    <w:multiLevelType w:val="multilevel"/>
    <w:tmpl w:val="000019D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1D11"/>
    <w:multiLevelType w:val="multilevel"/>
    <w:tmpl w:val="00001D11"/>
    <w:lvl w:ilvl="0">
      <w:start w:val="1"/>
      <w:numFmt w:val="bullet"/>
      <w:lvlText w:val="С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251F"/>
    <w:multiLevelType w:val="multilevel"/>
    <w:tmpl w:val="0000251F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2668"/>
    <w:multiLevelType w:val="multilevel"/>
    <w:tmpl w:val="00002668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9CE"/>
    <w:multiLevelType w:val="multilevel"/>
    <w:tmpl w:val="000039CE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В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3BB1"/>
    <w:multiLevelType w:val="multilevel"/>
    <w:tmpl w:val="00003BB1"/>
    <w:lvl w:ilvl="0">
      <w:start w:val="1"/>
      <w:numFmt w:val="bullet"/>
      <w:lvlText w:val="-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7282"/>
    <w:multiLevelType w:val="multilevel"/>
    <w:tmpl w:val="00007282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4F0405"/>
    <w:rsid w:val="00033C6A"/>
    <w:rsid w:val="000877EA"/>
    <w:rsid w:val="001544B8"/>
    <w:rsid w:val="001D0A87"/>
    <w:rsid w:val="001D407B"/>
    <w:rsid w:val="001F54C9"/>
    <w:rsid w:val="00202F38"/>
    <w:rsid w:val="002213F1"/>
    <w:rsid w:val="0029314E"/>
    <w:rsid w:val="002B3F65"/>
    <w:rsid w:val="00312FA7"/>
    <w:rsid w:val="00324952"/>
    <w:rsid w:val="00353DFC"/>
    <w:rsid w:val="004109F8"/>
    <w:rsid w:val="0043516B"/>
    <w:rsid w:val="00435FF0"/>
    <w:rsid w:val="004440CE"/>
    <w:rsid w:val="00444528"/>
    <w:rsid w:val="00481BB6"/>
    <w:rsid w:val="00487E73"/>
    <w:rsid w:val="004948E6"/>
    <w:rsid w:val="004C6142"/>
    <w:rsid w:val="004E459A"/>
    <w:rsid w:val="004F0405"/>
    <w:rsid w:val="0053534A"/>
    <w:rsid w:val="005A6693"/>
    <w:rsid w:val="0067145F"/>
    <w:rsid w:val="00704EA8"/>
    <w:rsid w:val="007720C0"/>
    <w:rsid w:val="00776D8D"/>
    <w:rsid w:val="00810960"/>
    <w:rsid w:val="008202C1"/>
    <w:rsid w:val="008649AA"/>
    <w:rsid w:val="009056BC"/>
    <w:rsid w:val="00911754"/>
    <w:rsid w:val="00986442"/>
    <w:rsid w:val="00991729"/>
    <w:rsid w:val="00A10807"/>
    <w:rsid w:val="00A13EDB"/>
    <w:rsid w:val="00A277DB"/>
    <w:rsid w:val="00A94998"/>
    <w:rsid w:val="00B56AC1"/>
    <w:rsid w:val="00BF392A"/>
    <w:rsid w:val="00C15215"/>
    <w:rsid w:val="00C36EF4"/>
    <w:rsid w:val="00C416E1"/>
    <w:rsid w:val="00C50B8C"/>
    <w:rsid w:val="00C57FD8"/>
    <w:rsid w:val="00C73BAB"/>
    <w:rsid w:val="00C81783"/>
    <w:rsid w:val="00C86D33"/>
    <w:rsid w:val="00D75FF0"/>
    <w:rsid w:val="00E052EB"/>
    <w:rsid w:val="00E11B18"/>
    <w:rsid w:val="00E14743"/>
    <w:rsid w:val="00E1771A"/>
    <w:rsid w:val="00E231A9"/>
    <w:rsid w:val="00E34D2B"/>
    <w:rsid w:val="00ED5449"/>
    <w:rsid w:val="00F30C0D"/>
    <w:rsid w:val="00F35ECC"/>
    <w:rsid w:val="00F53D62"/>
    <w:rsid w:val="062F2551"/>
    <w:rsid w:val="1A6F4393"/>
    <w:rsid w:val="1F0C78FA"/>
    <w:rsid w:val="237918CB"/>
    <w:rsid w:val="248E3B6A"/>
    <w:rsid w:val="36C55136"/>
    <w:rsid w:val="462E2B4B"/>
    <w:rsid w:val="668F5C6C"/>
    <w:rsid w:val="7266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caption" w:semiHidden="0" w:uiPriority="35" w:qFormat="1"/>
    <w:lsdException w:name="footnote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65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3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2B3F6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3F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2B3F6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2B3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2B3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1"/>
    <w:uiPriority w:val="99"/>
    <w:rsid w:val="002B3F65"/>
    <w:pPr>
      <w:widowControl w:val="0"/>
      <w:shd w:val="clear" w:color="auto" w:fill="FFFFFF"/>
      <w:spacing w:after="240" w:line="322" w:lineRule="exact"/>
    </w:pPr>
    <w:rPr>
      <w:spacing w:val="3"/>
      <w:sz w:val="25"/>
      <w:szCs w:val="25"/>
    </w:rPr>
  </w:style>
  <w:style w:type="paragraph" w:styleId="ab">
    <w:name w:val="Body Text Indent"/>
    <w:basedOn w:val="a"/>
    <w:link w:val="ac"/>
    <w:uiPriority w:val="99"/>
    <w:semiHidden/>
    <w:unhideWhenUsed/>
    <w:qFormat/>
    <w:rsid w:val="002B3F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qFormat/>
    <w:rsid w:val="002B3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uiPriority w:val="99"/>
    <w:unhideWhenUsed/>
    <w:qFormat/>
    <w:rsid w:val="002B3F65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zh-CN"/>
    </w:rPr>
  </w:style>
  <w:style w:type="character" w:styleId="af0">
    <w:name w:val="footnote reference"/>
    <w:qFormat/>
    <w:rsid w:val="002B3F65"/>
    <w:rPr>
      <w:vertAlign w:val="superscript"/>
    </w:rPr>
  </w:style>
  <w:style w:type="character" w:styleId="af1">
    <w:name w:val="Hyperlink"/>
    <w:qFormat/>
    <w:rsid w:val="002B3F65"/>
    <w:rPr>
      <w:color w:val="0000FF"/>
      <w:u w:val="single"/>
    </w:rPr>
  </w:style>
  <w:style w:type="character" w:styleId="af2">
    <w:name w:val="page number"/>
    <w:basedOn w:val="a0"/>
    <w:qFormat/>
    <w:rsid w:val="002B3F65"/>
  </w:style>
  <w:style w:type="table" w:styleId="af3">
    <w:name w:val="Table Grid"/>
    <w:basedOn w:val="a1"/>
    <w:qFormat/>
    <w:rsid w:val="002B3F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B3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B3F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2B3F6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af4">
    <w:name w:val="Основной текст Знак"/>
    <w:qFormat/>
    <w:rsid w:val="002B3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qFormat/>
    <w:rsid w:val="002B3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qFormat/>
    <w:rsid w:val="002B3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link w:val="a3"/>
    <w:qFormat/>
    <w:rsid w:val="002B3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Мой"/>
    <w:uiPriority w:val="1"/>
    <w:qFormat/>
    <w:rsid w:val="002B3F65"/>
    <w:rPr>
      <w:rFonts w:ascii="Times New Roman" w:hAnsi="Times New Roman"/>
      <w:sz w:val="28"/>
    </w:rPr>
  </w:style>
  <w:style w:type="character" w:customStyle="1" w:styleId="a7">
    <w:name w:val="Текст сноски Знак"/>
    <w:link w:val="a6"/>
    <w:qFormat/>
    <w:rsid w:val="002B3F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a"/>
    <w:uiPriority w:val="99"/>
    <w:qFormat/>
    <w:rsid w:val="002B3F65"/>
    <w:rPr>
      <w:spacing w:val="3"/>
      <w:sz w:val="25"/>
      <w:szCs w:val="25"/>
      <w:shd w:val="clear" w:color="auto" w:fill="FFFFFF"/>
    </w:rPr>
  </w:style>
  <w:style w:type="character" w:customStyle="1" w:styleId="12">
    <w:name w:val="Текст сноски Знак1"/>
    <w:basedOn w:val="a0"/>
    <w:uiPriority w:val="99"/>
    <w:semiHidden/>
    <w:qFormat/>
    <w:rsid w:val="002B3F65"/>
    <w:rPr>
      <w:sz w:val="20"/>
      <w:szCs w:val="20"/>
    </w:rPr>
  </w:style>
  <w:style w:type="character" w:customStyle="1" w:styleId="13">
    <w:name w:val="Текст выноски Знак1"/>
    <w:basedOn w:val="a0"/>
    <w:uiPriority w:val="99"/>
    <w:semiHidden/>
    <w:qFormat/>
    <w:rsid w:val="002B3F65"/>
    <w:rPr>
      <w:rFonts w:ascii="Tahoma" w:hAnsi="Tahoma" w:cs="Tahoma"/>
      <w:sz w:val="16"/>
      <w:szCs w:val="16"/>
    </w:rPr>
  </w:style>
  <w:style w:type="character" w:customStyle="1" w:styleId="21">
    <w:name w:val="Основной текст Знак2"/>
    <w:basedOn w:val="a0"/>
    <w:uiPriority w:val="99"/>
    <w:semiHidden/>
    <w:qFormat/>
    <w:rsid w:val="002B3F65"/>
  </w:style>
  <w:style w:type="character" w:customStyle="1" w:styleId="14">
    <w:name w:val="Нижний колонтитул Знак1"/>
    <w:basedOn w:val="a0"/>
    <w:uiPriority w:val="99"/>
    <w:semiHidden/>
    <w:rsid w:val="002B3F65"/>
  </w:style>
  <w:style w:type="character" w:customStyle="1" w:styleId="15">
    <w:name w:val="Верхний колонтитул Знак1"/>
    <w:basedOn w:val="a0"/>
    <w:uiPriority w:val="99"/>
    <w:semiHidden/>
    <w:rsid w:val="002B3F65"/>
  </w:style>
  <w:style w:type="paragraph" w:styleId="af6">
    <w:name w:val="List Paragraph"/>
    <w:basedOn w:val="a"/>
    <w:uiPriority w:val="34"/>
    <w:qFormat/>
    <w:rsid w:val="002B3F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3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6">
    <w:name w:val="Абзац списка1"/>
    <w:basedOn w:val="a"/>
    <w:rsid w:val="002B3F65"/>
    <w:pPr>
      <w:ind w:left="720"/>
    </w:pPr>
    <w:rPr>
      <w:rFonts w:ascii="Calibri" w:eastAsia="SimSun" w:hAnsi="Calibri" w:cs="Calibri"/>
      <w:sz w:val="20"/>
      <w:szCs w:val="20"/>
      <w:lang w:val="en-US" w:eastAsia="zh-CN"/>
    </w:rPr>
  </w:style>
  <w:style w:type="paragraph" w:customStyle="1" w:styleId="ConsPlusTitle">
    <w:name w:val="ConsPlusTitle"/>
    <w:qFormat/>
    <w:rsid w:val="002B3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7">
    <w:name w:val="Знак Знак Знак1 Знак Знак Знак Знак"/>
    <w:basedOn w:val="a"/>
    <w:rsid w:val="002B3F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2B3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styleId="af7">
    <w:name w:val="No Spacing"/>
    <w:uiPriority w:val="1"/>
    <w:qFormat/>
    <w:rsid w:val="002B3F6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sid w:val="002B3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 (2)_"/>
    <w:link w:val="220"/>
    <w:rsid w:val="002B3F6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2B3F65"/>
    <w:pPr>
      <w:widowControl w:val="0"/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uiPriority w:val="9"/>
    <w:rsid w:val="002B3F6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blk">
    <w:name w:val="blk"/>
    <w:basedOn w:val="a0"/>
    <w:qFormat/>
    <w:rsid w:val="002B3F65"/>
  </w:style>
  <w:style w:type="character" w:customStyle="1" w:styleId="61">
    <w:name w:val="Заголовок 6 Знак1"/>
    <w:basedOn w:val="a0"/>
    <w:link w:val="6"/>
    <w:uiPriority w:val="9"/>
    <w:semiHidden/>
    <w:rsid w:val="002B3F6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customStyle="1" w:styleId="western">
    <w:name w:val="western"/>
    <w:basedOn w:val="a"/>
    <w:rsid w:val="002B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457123710600251E-2"/>
          <c:y val="0.13657366903211193"/>
          <c:w val="0.74139674030108005"/>
          <c:h val="0.6939308512361906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2020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9.366391184573003E-2"/>
                  <c:y val="0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115702479338831E-2"/>
                  <c:y val="0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муж.</c:v>
                </c:pt>
                <c:pt idx="1">
                  <c:v>женщ.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203</c:v>
                </c:pt>
                <c:pt idx="1">
                  <c:v>729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371008311461107"/>
          <c:y val="0.17450412448443908"/>
          <c:w val="0.45607629775444841"/>
          <c:h val="0.7818450818647669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муж.</c:v>
                </c:pt>
                <c:pt idx="1">
                  <c:v>жен.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208</c:v>
                </c:pt>
                <c:pt idx="1">
                  <c:v>711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07360017497801"/>
          <c:y val="0.16656761654793209"/>
          <c:w val="0.43292814960629916"/>
          <c:h val="0.7421625421822266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9"/>
          <c:dLbls>
            <c:dLbl>
              <c:idx val="0"/>
              <c:layout>
                <c:manualLayout>
                  <c:x val="-1.1403264994352501E-2"/>
                  <c:y val="-0.1047727034120740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5.9405940594059396E-2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социально-бытовые</c:v>
                </c:pt>
                <c:pt idx="1">
                  <c:v>социально-медицинские</c:v>
                </c:pt>
                <c:pt idx="2">
                  <c:v>социально-педагогические</c:v>
                </c:pt>
                <c:pt idx="3">
                  <c:v>социально-правовые</c:v>
                </c:pt>
                <c:pt idx="4">
                  <c:v>социально-психологические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39424</c:v>
                </c:pt>
                <c:pt idx="1">
                  <c:v>5793</c:v>
                </c:pt>
                <c:pt idx="2">
                  <c:v>176</c:v>
                </c:pt>
                <c:pt idx="3">
                  <c:v>24</c:v>
                </c:pt>
                <c:pt idx="4">
                  <c:v>4843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2607260726072612E-2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1.9801980198019813E-2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6296296296296328E-3"/>
                  <c:y val="-3.3003300330033E-2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4.6204620462046229E-2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социально-бытовые</c:v>
                </c:pt>
                <c:pt idx="1">
                  <c:v>социально-медицинские</c:v>
                </c:pt>
                <c:pt idx="2">
                  <c:v>социально-педагогические</c:v>
                </c:pt>
                <c:pt idx="3">
                  <c:v>социально-правовые</c:v>
                </c:pt>
                <c:pt idx="4">
                  <c:v>социально-психологические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35212</c:v>
                </c:pt>
                <c:pt idx="1">
                  <c:v>5273</c:v>
                </c:pt>
                <c:pt idx="2">
                  <c:v>193</c:v>
                </c:pt>
                <c:pt idx="3">
                  <c:v>23</c:v>
                </c:pt>
                <c:pt idx="4">
                  <c:v>4464</c:v>
                </c:pt>
              </c:numCache>
            </c:numRef>
          </c:val>
        </c:ser>
        <c:dLbls>
          <c:showLegendKey val="0"/>
          <c:showVal val="1"/>
          <c:showCatName val="0"/>
          <c:showSerName val="1"/>
          <c:showPercent val="0"/>
          <c:showBubbleSize val="0"/>
        </c:dLbls>
        <c:gapWidth val="150"/>
        <c:axId val="105496576"/>
        <c:axId val="105975808"/>
      </c:barChart>
      <c:catAx>
        <c:axId val="10549657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975808"/>
        <c:crosses val="autoZero"/>
        <c:auto val="1"/>
        <c:lblAlgn val="ctr"/>
        <c:lblOffset val="100"/>
        <c:noMultiLvlLbl val="0"/>
      </c:catAx>
      <c:valAx>
        <c:axId val="1059758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549657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социальномедицинские</c:v>
                </c:pt>
                <c:pt idx="1">
                  <c:v>социально-педагогические</c:v>
                </c:pt>
                <c:pt idx="2">
                  <c:v>социально-психологические</c:v>
                </c:pt>
                <c:pt idx="3">
                  <c:v>социально-правовые</c:v>
                </c:pt>
                <c:pt idx="4">
                  <c:v>коммуникативные</c:v>
                </c:pt>
                <c:pt idx="5">
                  <c:v>социально-бытовые</c:v>
                </c:pt>
                <c:pt idx="6">
                  <c:v>срочные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</c:v>
                </c:pt>
                <c:pt idx="1">
                  <c:v>279</c:v>
                </c:pt>
                <c:pt idx="2">
                  <c:v>243</c:v>
                </c:pt>
                <c:pt idx="3">
                  <c:v>94</c:v>
                </c:pt>
                <c:pt idx="4">
                  <c:v>0</c:v>
                </c:pt>
                <c:pt idx="5">
                  <c:v>43</c:v>
                </c:pt>
                <c:pt idx="6">
                  <c:v>2758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социальномедицинские</c:v>
                </c:pt>
                <c:pt idx="1">
                  <c:v>социально-педагогические</c:v>
                </c:pt>
                <c:pt idx="2">
                  <c:v>социально-психологические</c:v>
                </c:pt>
                <c:pt idx="3">
                  <c:v>социально-правовые</c:v>
                </c:pt>
                <c:pt idx="4">
                  <c:v>коммуникативные</c:v>
                </c:pt>
                <c:pt idx="5">
                  <c:v>социально-бытовые</c:v>
                </c:pt>
                <c:pt idx="6">
                  <c:v>срочные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104</c:v>
                </c:pt>
                <c:pt idx="1">
                  <c:v>208</c:v>
                </c:pt>
                <c:pt idx="2">
                  <c:v>334</c:v>
                </c:pt>
                <c:pt idx="3">
                  <c:v>184</c:v>
                </c:pt>
                <c:pt idx="4">
                  <c:v>0</c:v>
                </c:pt>
                <c:pt idx="5">
                  <c:v>81</c:v>
                </c:pt>
                <c:pt idx="6">
                  <c:v>3871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739904"/>
        <c:axId val="122053376"/>
      </c:barChart>
      <c:catAx>
        <c:axId val="12173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2053376"/>
        <c:crosses val="autoZero"/>
        <c:auto val="1"/>
        <c:lblAlgn val="ctr"/>
        <c:lblOffset val="100"/>
        <c:noMultiLvlLbl val="0"/>
      </c:catAx>
      <c:valAx>
        <c:axId val="1220533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1739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1642060367454236E-2"/>
          <c:y val="9.8214285714285726E-2"/>
          <c:w val="0.7355827136191313"/>
          <c:h val="0.7876984126984160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673992722715252E-2"/>
                  <c:y val="-1.98702621104525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085284280936"/>
                      <c:h val="0.36973995271867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1642060367454236E-2"/>
          <c:y val="9.8214285714285726E-2"/>
          <c:w val="0.7355827136191313"/>
          <c:h val="0.7876984126984160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673992722715252E-2"/>
                  <c:y val="-1.98702621104525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8085284280936"/>
                      <c:h val="0.36973995271867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8694</Words>
  <Characters>49561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2020-07-09T10:57:00Z</cp:lastPrinted>
  <dcterms:created xsi:type="dcterms:W3CDTF">2020-07-09T10:20:00Z</dcterms:created>
  <dcterms:modified xsi:type="dcterms:W3CDTF">2020-07-09T11:02:00Z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